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6780">
      <w:pPr>
        <w:pBdr>
          <w:bottom w:val="single" w:color="2E75B6" w:sz="12" w:space="8"/>
        </w:pBdr>
        <w:spacing w:before="240" w:after="240"/>
        <w:jc w:val="left"/>
      </w:pPr>
      <w:r>
        <w:rPr>
          <w:rFonts w:ascii="Calibri" w:hAnsi="Calibri" w:eastAsia="Calibri" w:cs="Calibri"/>
          <w:b/>
          <w:bCs/>
          <w:color w:val="1F3A5F"/>
          <w:sz w:val="56"/>
          <w:szCs w:val="56"/>
        </w:rPr>
        <w:t>Data Processing Addendum (DPA)</w:t>
      </w:r>
    </w:p>
    <w:p w14:paraId="3E88DF61">
      <w:pPr>
        <w:spacing w:after="120" w:line="300" w:lineRule="auto"/>
        <w:jc w:val="both"/>
      </w:pPr>
      <w:r>
        <w:rPr>
          <w:rFonts w:ascii="Calibri" w:hAnsi="Calibri" w:eastAsia="Calibri" w:cs="Calibri"/>
          <w:b/>
          <w:bCs/>
          <w:color w:val="1A1A1A"/>
          <w:sz w:val="22"/>
          <w:szCs w:val="22"/>
        </w:rPr>
        <w:t>Last updated:</w:t>
      </w:r>
      <w:r>
        <w:rPr>
          <w:rFonts w:ascii="Calibri" w:hAnsi="Calibri" w:eastAsia="Calibri" w:cs="Calibri"/>
          <w:color w:val="1A1A1A"/>
          <w:sz w:val="22"/>
          <w:szCs w:val="22"/>
        </w:rPr>
        <w:t xml:space="preserve"> 27 May 2026</w:t>
      </w:r>
    </w:p>
    <w:p w14:paraId="2B795660">
      <w:pPr>
        <w:spacing w:after="120" w:line="300" w:lineRule="auto"/>
        <w:jc w:val="both"/>
      </w:pPr>
      <w:r>
        <w:rPr>
          <w:rFonts w:ascii="Calibri" w:hAnsi="Calibri" w:eastAsia="Calibri" w:cs="Calibri"/>
          <w:b/>
          <w:bCs/>
          <w:color w:val="1A1A1A"/>
          <w:sz w:val="22"/>
          <w:szCs w:val="22"/>
        </w:rPr>
        <w:t>Effective date:</w:t>
      </w:r>
      <w:r>
        <w:rPr>
          <w:rFonts w:ascii="Calibri" w:hAnsi="Calibri" w:eastAsia="Calibri" w:cs="Calibri"/>
          <w:color w:val="1A1A1A"/>
          <w:sz w:val="22"/>
          <w:szCs w:val="22"/>
        </w:rPr>
        <w:t xml:space="preserve"> 27 May 2026</w:t>
      </w:r>
    </w:p>
    <w:p w14:paraId="323CFC2A">
      <w:pPr>
        <w:spacing w:after="120" w:line="300" w:lineRule="auto"/>
        <w:jc w:val="both"/>
      </w:pPr>
      <w:r>
        <w:rPr>
          <w:rFonts w:ascii="Calibri" w:hAnsi="Calibri" w:eastAsia="Calibri" w:cs="Calibri"/>
          <w:color w:val="1A1A1A"/>
          <w:sz w:val="22"/>
          <w:szCs w:val="22"/>
        </w:rPr>
        <w:t>This Data Processing Addendum ("</w:t>
      </w:r>
      <w:r>
        <w:rPr>
          <w:rFonts w:ascii="Calibri" w:hAnsi="Calibri" w:eastAsia="Calibri" w:cs="Calibri"/>
          <w:b/>
          <w:bCs/>
          <w:color w:val="1A1A1A"/>
          <w:sz w:val="22"/>
          <w:szCs w:val="22"/>
        </w:rPr>
        <w:t>DPA</w:t>
      </w:r>
      <w:r>
        <w:rPr>
          <w:rFonts w:ascii="Calibri" w:hAnsi="Calibri" w:eastAsia="Calibri" w:cs="Calibri"/>
          <w:color w:val="1A1A1A"/>
          <w:sz w:val="22"/>
          <w:szCs w:val="22"/>
        </w:rPr>
        <w:t xml:space="preserve">") forms part of the agreement between </w:t>
      </w:r>
      <w:r>
        <w:rPr>
          <w:rFonts w:ascii="Calibri" w:hAnsi="Calibri" w:eastAsia="Calibri" w:cs="Calibri"/>
          <w:b/>
          <w:bCs/>
          <w:color w:val="1A1A1A"/>
          <w:sz w:val="22"/>
          <w:szCs w:val="22"/>
        </w:rPr>
        <w:t>Cobay Technology Private Limited</w:t>
      </w:r>
      <w:r>
        <w:rPr>
          <w:rFonts w:ascii="Calibri" w:hAnsi="Calibri" w:eastAsia="Calibri" w:cs="Calibri"/>
          <w:color w:val="1A1A1A"/>
          <w:sz w:val="22"/>
          <w:szCs w:val="22"/>
        </w:rPr>
        <w:t xml:space="preserve"> ("</w:t>
      </w:r>
      <w:r>
        <w:rPr>
          <w:rFonts w:ascii="Calibri" w:hAnsi="Calibri" w:eastAsia="Calibri" w:cs="Calibri"/>
          <w:b/>
          <w:bCs/>
          <w:color w:val="1A1A1A"/>
          <w:sz w:val="22"/>
          <w:szCs w:val="22"/>
        </w:rPr>
        <w:t>Cobay</w:t>
      </w:r>
      <w:r>
        <w:rPr>
          <w:rFonts w:ascii="Calibri" w:hAnsi="Calibri" w:eastAsia="Calibri" w:cs="Calibri"/>
          <w:color w:val="1A1A1A"/>
          <w:sz w:val="22"/>
          <w:szCs w:val="22"/>
        </w:rPr>
        <w:t>," "</w:t>
      </w:r>
      <w:r>
        <w:rPr>
          <w:rFonts w:ascii="Calibri" w:hAnsi="Calibri" w:eastAsia="Calibri" w:cs="Calibri"/>
          <w:b/>
          <w:bCs/>
          <w:color w:val="1A1A1A"/>
          <w:sz w:val="22"/>
          <w:szCs w:val="22"/>
        </w:rPr>
        <w:t>Processor</w:t>
      </w:r>
      <w:r>
        <w:rPr>
          <w:rFonts w:ascii="Calibri" w:hAnsi="Calibri" w:eastAsia="Calibri" w:cs="Calibri"/>
          <w:color w:val="1A1A1A"/>
          <w:sz w:val="22"/>
          <w:szCs w:val="22"/>
        </w:rPr>
        <w:t>") and the customer identified in the underlying agreement ("</w:t>
      </w:r>
      <w:r>
        <w:rPr>
          <w:rFonts w:ascii="Calibri" w:hAnsi="Calibri" w:eastAsia="Calibri" w:cs="Calibri"/>
          <w:b/>
          <w:bCs/>
          <w:color w:val="1A1A1A"/>
          <w:sz w:val="22"/>
          <w:szCs w:val="22"/>
        </w:rPr>
        <w:t>Customer</w:t>
      </w:r>
      <w:r>
        <w:rPr>
          <w:rFonts w:ascii="Calibri" w:hAnsi="Calibri" w:eastAsia="Calibri" w:cs="Calibri"/>
          <w:color w:val="1A1A1A"/>
          <w:sz w:val="22"/>
          <w:szCs w:val="22"/>
        </w:rPr>
        <w:t>," "</w:t>
      </w:r>
      <w:r>
        <w:rPr>
          <w:rFonts w:ascii="Calibri" w:hAnsi="Calibri" w:eastAsia="Calibri" w:cs="Calibri"/>
          <w:b/>
          <w:bCs/>
          <w:color w:val="1A1A1A"/>
          <w:sz w:val="22"/>
          <w:szCs w:val="22"/>
        </w:rPr>
        <w:t>Controller</w:t>
      </w:r>
      <w:r>
        <w:rPr>
          <w:rFonts w:ascii="Calibri" w:hAnsi="Calibri" w:eastAsia="Calibri" w:cs="Calibri"/>
          <w:color w:val="1A1A1A"/>
          <w:sz w:val="22"/>
          <w:szCs w:val="22"/>
        </w:rPr>
        <w:t>") for the use of Cobay's e-commerce operations platform and related services ("</w:t>
      </w:r>
      <w:r>
        <w:rPr>
          <w:rFonts w:ascii="Calibri" w:hAnsi="Calibri" w:eastAsia="Calibri" w:cs="Calibri"/>
          <w:b/>
          <w:bCs/>
          <w:color w:val="1A1A1A"/>
          <w:sz w:val="22"/>
          <w:szCs w:val="22"/>
        </w:rPr>
        <w:t>Services</w:t>
      </w:r>
      <w:r>
        <w:rPr>
          <w:rFonts w:ascii="Calibri" w:hAnsi="Calibri" w:eastAsia="Calibri" w:cs="Calibri"/>
          <w:color w:val="1A1A1A"/>
          <w:sz w:val="22"/>
          <w:szCs w:val="22"/>
        </w:rPr>
        <w:t>").</w:t>
      </w:r>
    </w:p>
    <w:p w14:paraId="4C338D20">
      <w:pPr>
        <w:spacing w:after="120" w:line="300" w:lineRule="auto"/>
        <w:jc w:val="both"/>
      </w:pPr>
      <w:r>
        <w:rPr>
          <w:rFonts w:ascii="Calibri" w:hAnsi="Calibri" w:eastAsia="Calibri" w:cs="Calibri"/>
          <w:color w:val="1A1A1A"/>
          <w:sz w:val="22"/>
          <w:szCs w:val="22"/>
        </w:rPr>
        <w:t>This DPA reflects the parties' agreement on the processing of personal data by Cobay on behalf of the Customer in connection with the Services. It is incorporated into and governed by the Cobay Terms</w:t>
      </w:r>
      <w:bookmarkStart w:id="0" w:name="_GoBack"/>
      <w:bookmarkEnd w:id="0"/>
      <w:r>
        <w:rPr>
          <w:rFonts w:ascii="Calibri" w:hAnsi="Calibri" w:eastAsia="Calibri" w:cs="Calibri"/>
          <w:color w:val="1A1A1A"/>
          <w:sz w:val="22"/>
          <w:szCs w:val="22"/>
        </w:rPr>
        <w:t xml:space="preserve"> of Service or other written agreement between the parties (the "</w:t>
      </w:r>
      <w:r>
        <w:rPr>
          <w:rFonts w:ascii="Calibri" w:hAnsi="Calibri" w:eastAsia="Calibri" w:cs="Calibri"/>
          <w:b/>
          <w:bCs/>
          <w:color w:val="1A1A1A"/>
          <w:sz w:val="22"/>
          <w:szCs w:val="22"/>
        </w:rPr>
        <w:t>Principal Agreement</w:t>
      </w:r>
      <w:r>
        <w:rPr>
          <w:rFonts w:ascii="Calibri" w:hAnsi="Calibri" w:eastAsia="Calibri" w:cs="Calibri"/>
          <w:color w:val="1A1A1A"/>
          <w:sz w:val="22"/>
          <w:szCs w:val="22"/>
        </w:rPr>
        <w:t>").</w:t>
      </w:r>
    </w:p>
    <w:p w14:paraId="56AE50B3">
      <w:pPr>
        <w:pBdr>
          <w:bottom w:val="single" w:color="2E75B6" w:sz="6" w:space="1"/>
        </w:pBdr>
        <w:spacing w:before="120" w:after="120"/>
      </w:pPr>
    </w:p>
    <w:p w14:paraId="0374A916">
      <w:pPr>
        <w:pStyle w:val="2"/>
        <w:pBdr>
          <w:bottom w:val="single" w:color="2E75B6" w:sz="8" w:space="4"/>
        </w:pBdr>
        <w:spacing w:before="360" w:after="200"/>
      </w:pPr>
      <w:r>
        <w:rPr>
          <w:rFonts w:ascii="Calibri" w:hAnsi="Calibri" w:eastAsia="Calibri" w:cs="Calibri"/>
          <w:b/>
          <w:bCs/>
          <w:color w:val="1F3A5F"/>
          <w:sz w:val="30"/>
          <w:szCs w:val="30"/>
        </w:rPr>
        <w:t>1. Definitions</w:t>
      </w:r>
    </w:p>
    <w:p w14:paraId="1AA6CDA1">
      <w:pPr>
        <w:pStyle w:val="18"/>
        <w:numPr>
          <w:ilvl w:val="0"/>
          <w:numId w:val="1"/>
        </w:numPr>
        <w:spacing w:after="80" w:line="280" w:lineRule="auto"/>
      </w:pPr>
      <w:r>
        <w:rPr>
          <w:rFonts w:ascii="Calibri" w:hAnsi="Calibri" w:eastAsia="Calibri" w:cs="Calibri"/>
          <w:b/>
          <w:bCs/>
          <w:color w:val="1A1A1A"/>
          <w:sz w:val="22"/>
          <w:szCs w:val="22"/>
        </w:rPr>
        <w:t>"Applicable Data Protection Laws"</w:t>
      </w:r>
      <w:r>
        <w:rPr>
          <w:rFonts w:ascii="Calibri" w:hAnsi="Calibri" w:eastAsia="Calibri" w:cs="Calibri"/>
          <w:color w:val="1A1A1A"/>
          <w:sz w:val="22"/>
          <w:szCs w:val="22"/>
        </w:rPr>
        <w:t xml:space="preserve"> means all laws applicable to the processing of personal data under this DPA, including India's </w:t>
      </w:r>
      <w:r>
        <w:rPr>
          <w:rFonts w:ascii="Calibri" w:hAnsi="Calibri" w:eastAsia="Calibri" w:cs="Calibri"/>
          <w:b/>
          <w:bCs/>
          <w:color w:val="1A1A1A"/>
          <w:sz w:val="22"/>
          <w:szCs w:val="22"/>
        </w:rPr>
        <w:t>Digital Personal Data Protection Act, 2023 ("DPDP Act")</w:t>
      </w:r>
      <w:r>
        <w:rPr>
          <w:rFonts w:ascii="Calibri" w:hAnsi="Calibri" w:eastAsia="Calibri" w:cs="Calibri"/>
          <w:color w:val="1A1A1A"/>
          <w:sz w:val="22"/>
          <w:szCs w:val="22"/>
        </w:rPr>
        <w:t>, the Information Technology Act, 2000 and rules thereunder, and, where applicable to the parties or processing, the EU General Data Protection Regulation (GDPR) and equivalent laws in other jurisdictions.</w:t>
      </w:r>
    </w:p>
    <w:p w14:paraId="02FF050D">
      <w:pPr>
        <w:pStyle w:val="18"/>
        <w:numPr>
          <w:ilvl w:val="0"/>
          <w:numId w:val="1"/>
        </w:numPr>
        <w:spacing w:after="80" w:line="280" w:lineRule="auto"/>
      </w:pPr>
      <w:r>
        <w:rPr>
          <w:rFonts w:ascii="Calibri" w:hAnsi="Calibri" w:eastAsia="Calibri" w:cs="Calibri"/>
          <w:b/>
          <w:bCs/>
          <w:color w:val="1A1A1A"/>
          <w:sz w:val="22"/>
          <w:szCs w:val="22"/>
        </w:rPr>
        <w:t>"Customer Personal Data"</w:t>
      </w:r>
      <w:r>
        <w:rPr>
          <w:rFonts w:ascii="Calibri" w:hAnsi="Calibri" w:eastAsia="Calibri" w:cs="Calibri"/>
          <w:color w:val="1A1A1A"/>
          <w:sz w:val="22"/>
          <w:szCs w:val="22"/>
        </w:rPr>
        <w:t xml:space="preserve"> means personal data processed by Cobay on behalf of Customer under the Principal Agreement.</w:t>
      </w:r>
    </w:p>
    <w:p w14:paraId="00A5491E">
      <w:pPr>
        <w:pStyle w:val="18"/>
        <w:numPr>
          <w:ilvl w:val="0"/>
          <w:numId w:val="1"/>
        </w:numPr>
        <w:spacing w:after="80" w:line="280" w:lineRule="auto"/>
      </w:pPr>
      <w:r>
        <w:rPr>
          <w:rFonts w:ascii="Calibri" w:hAnsi="Calibri" w:eastAsia="Calibri" w:cs="Calibri"/>
          <w:b/>
          <w:bCs/>
          <w:color w:val="1A1A1A"/>
          <w:sz w:val="22"/>
          <w:szCs w:val="22"/>
        </w:rPr>
        <w:t>"Data Principal" / "Data Subject"</w:t>
      </w:r>
      <w:r>
        <w:rPr>
          <w:rFonts w:ascii="Calibri" w:hAnsi="Calibri" w:eastAsia="Calibri" w:cs="Calibri"/>
          <w:color w:val="1A1A1A"/>
          <w:sz w:val="22"/>
          <w:szCs w:val="22"/>
        </w:rPr>
        <w:t xml:space="preserve"> means the identified or identifiable individual to whom Customer Personal Data relates.</w:t>
      </w:r>
    </w:p>
    <w:p w14:paraId="31E23654">
      <w:pPr>
        <w:pStyle w:val="18"/>
        <w:numPr>
          <w:ilvl w:val="0"/>
          <w:numId w:val="1"/>
        </w:numPr>
        <w:spacing w:after="80" w:line="280" w:lineRule="auto"/>
      </w:pPr>
      <w:r>
        <w:rPr>
          <w:rFonts w:ascii="Calibri" w:hAnsi="Calibri" w:eastAsia="Calibri" w:cs="Calibri"/>
          <w:b/>
          <w:bCs/>
          <w:color w:val="1A1A1A"/>
          <w:sz w:val="22"/>
          <w:szCs w:val="22"/>
        </w:rPr>
        <w:t>"Sub-processor"</w:t>
      </w:r>
      <w:r>
        <w:rPr>
          <w:rFonts w:ascii="Calibri" w:hAnsi="Calibri" w:eastAsia="Calibri" w:cs="Calibri"/>
          <w:color w:val="1A1A1A"/>
          <w:sz w:val="22"/>
          <w:szCs w:val="22"/>
        </w:rPr>
        <w:t xml:space="preserve"> means any third party engaged by Cobay to process Customer Personal Data.</w:t>
      </w:r>
    </w:p>
    <w:p w14:paraId="5C20E012">
      <w:pPr>
        <w:pStyle w:val="18"/>
        <w:numPr>
          <w:ilvl w:val="0"/>
          <w:numId w:val="1"/>
        </w:numPr>
        <w:spacing w:after="80" w:line="280" w:lineRule="auto"/>
      </w:pPr>
      <w:r>
        <w:rPr>
          <w:rFonts w:ascii="Calibri" w:hAnsi="Calibri" w:eastAsia="Calibri" w:cs="Calibri"/>
          <w:b/>
          <w:bCs/>
          <w:color w:val="1A1A1A"/>
          <w:sz w:val="22"/>
          <w:szCs w:val="22"/>
        </w:rPr>
        <w:t>"Personal Data Breach"</w:t>
      </w:r>
      <w:r>
        <w:rPr>
          <w:rFonts w:ascii="Calibri" w:hAnsi="Calibri" w:eastAsia="Calibri" w:cs="Calibri"/>
          <w:color w:val="1A1A1A"/>
          <w:sz w:val="22"/>
          <w:szCs w:val="22"/>
        </w:rPr>
        <w:t xml:space="preserve"> means a breach of security leading to accidental or unlawful destruction, loss, alteration, unauthorized disclosure of, or access to, Customer Personal Data.</w:t>
      </w:r>
    </w:p>
    <w:p w14:paraId="3A244086">
      <w:pPr>
        <w:spacing w:after="120" w:line="300" w:lineRule="auto"/>
        <w:jc w:val="both"/>
      </w:pPr>
      <w:r>
        <w:rPr>
          <w:rFonts w:ascii="Calibri" w:hAnsi="Calibri" w:eastAsia="Calibri" w:cs="Calibri"/>
          <w:color w:val="1A1A1A"/>
          <w:sz w:val="22"/>
          <w:szCs w:val="22"/>
        </w:rPr>
        <w:t>Terms not defined here have the meanings given in Applicable Data Protection Laws or the Principal Agreement.</w:t>
      </w:r>
    </w:p>
    <w:p w14:paraId="56701EEC">
      <w:pPr>
        <w:pBdr>
          <w:bottom w:val="single" w:color="2E75B6" w:sz="6" w:space="1"/>
        </w:pBdr>
        <w:spacing w:before="120" w:after="120"/>
      </w:pPr>
    </w:p>
    <w:p w14:paraId="094C9BB0">
      <w:pPr>
        <w:pStyle w:val="2"/>
        <w:pBdr>
          <w:bottom w:val="single" w:color="2E75B6" w:sz="8" w:space="4"/>
        </w:pBdr>
        <w:spacing w:before="360" w:after="200"/>
      </w:pPr>
      <w:r>
        <w:rPr>
          <w:rFonts w:ascii="Calibri" w:hAnsi="Calibri" w:eastAsia="Calibri" w:cs="Calibri"/>
          <w:b/>
          <w:bCs/>
          <w:color w:val="1F3A5F"/>
          <w:sz w:val="30"/>
          <w:szCs w:val="30"/>
        </w:rPr>
        <w:t>2. Roles of the Parties</w:t>
      </w:r>
    </w:p>
    <w:p w14:paraId="366C8CC8">
      <w:pPr>
        <w:spacing w:after="120" w:line="300" w:lineRule="auto"/>
        <w:jc w:val="both"/>
      </w:pPr>
      <w:r>
        <w:rPr>
          <w:rFonts w:ascii="Calibri" w:hAnsi="Calibri" w:eastAsia="Calibri" w:cs="Calibri"/>
          <w:color w:val="1A1A1A"/>
          <w:sz w:val="22"/>
          <w:szCs w:val="22"/>
        </w:rPr>
        <w:t xml:space="preserve">Customer is the </w:t>
      </w:r>
      <w:r>
        <w:rPr>
          <w:rFonts w:ascii="Calibri" w:hAnsi="Calibri" w:eastAsia="Calibri" w:cs="Calibri"/>
          <w:b/>
          <w:bCs/>
          <w:color w:val="1A1A1A"/>
          <w:sz w:val="22"/>
          <w:szCs w:val="22"/>
        </w:rPr>
        <w:t>Data Fiduciary / Controller</w:t>
      </w:r>
      <w:r>
        <w:rPr>
          <w:rFonts w:ascii="Calibri" w:hAnsi="Calibri" w:eastAsia="Calibri" w:cs="Calibri"/>
          <w:color w:val="1A1A1A"/>
          <w:sz w:val="22"/>
          <w:szCs w:val="22"/>
        </w:rPr>
        <w:t xml:space="preserve"> of Customer Personal Data and determines the purposes and means of its processing. Cobay is the </w:t>
      </w:r>
      <w:r>
        <w:rPr>
          <w:rFonts w:ascii="Calibri" w:hAnsi="Calibri" w:eastAsia="Calibri" w:cs="Calibri"/>
          <w:b/>
          <w:bCs/>
          <w:color w:val="1A1A1A"/>
          <w:sz w:val="22"/>
          <w:szCs w:val="22"/>
        </w:rPr>
        <w:t>Data Processor</w:t>
      </w:r>
      <w:r>
        <w:rPr>
          <w:rFonts w:ascii="Calibri" w:hAnsi="Calibri" w:eastAsia="Calibri" w:cs="Calibri"/>
          <w:color w:val="1A1A1A"/>
          <w:sz w:val="22"/>
          <w:szCs w:val="22"/>
        </w:rPr>
        <w:t xml:space="preserve"> acting on behalf of and under the documented instructions of the Customer.</w:t>
      </w:r>
    </w:p>
    <w:p w14:paraId="644266AB">
      <w:pPr>
        <w:spacing w:after="120" w:line="300" w:lineRule="auto"/>
        <w:jc w:val="both"/>
      </w:pPr>
      <w:r>
        <w:rPr>
          <w:rFonts w:ascii="Calibri" w:hAnsi="Calibri" w:eastAsia="Calibri" w:cs="Calibri"/>
          <w:color w:val="1A1A1A"/>
          <w:sz w:val="22"/>
          <w:szCs w:val="22"/>
        </w:rPr>
        <w:t xml:space="preserve">For data Cobay processes for its own purposes as a Data Fiduciary (e.g., account holder information of Customer's authorized users for billing and account management), Cobay's </w:t>
      </w:r>
      <w:r>
        <w:rPr>
          <w:rFonts w:ascii="Calibri" w:hAnsi="Calibri" w:eastAsia="Calibri" w:cs="Calibri"/>
          <w:b/>
          <w:bCs/>
          <w:color w:val="1A1A1A"/>
          <w:sz w:val="22"/>
          <w:szCs w:val="22"/>
        </w:rPr>
        <w:t>Privacy Policy</w:t>
      </w:r>
      <w:r>
        <w:rPr>
          <w:rFonts w:ascii="Calibri" w:hAnsi="Calibri" w:eastAsia="Calibri" w:cs="Calibri"/>
          <w:color w:val="1A1A1A"/>
          <w:sz w:val="22"/>
          <w:szCs w:val="22"/>
        </w:rPr>
        <w:t xml:space="preserve"> applies.</w:t>
      </w:r>
    </w:p>
    <w:p w14:paraId="4CC8BB2D">
      <w:pPr>
        <w:pBdr>
          <w:bottom w:val="single" w:color="2E75B6" w:sz="6" w:space="1"/>
        </w:pBdr>
        <w:spacing w:before="120" w:after="120"/>
      </w:pPr>
    </w:p>
    <w:p w14:paraId="6C4E918A">
      <w:pPr>
        <w:pStyle w:val="2"/>
        <w:pBdr>
          <w:bottom w:val="single" w:color="2E75B6" w:sz="8" w:space="4"/>
        </w:pBdr>
        <w:spacing w:before="360" w:after="200"/>
      </w:pPr>
      <w:r>
        <w:rPr>
          <w:rFonts w:ascii="Calibri" w:hAnsi="Calibri" w:eastAsia="Calibri" w:cs="Calibri"/>
          <w:b/>
          <w:bCs/>
          <w:color w:val="1F3A5F"/>
          <w:sz w:val="30"/>
          <w:szCs w:val="30"/>
        </w:rPr>
        <w:t>3. Scope and Subject Matter</w:t>
      </w:r>
    </w:p>
    <w:p w14:paraId="68DFF41B">
      <w:pPr>
        <w:pStyle w:val="18"/>
        <w:numPr>
          <w:ilvl w:val="0"/>
          <w:numId w:val="1"/>
        </w:numPr>
        <w:spacing w:after="80" w:line="280" w:lineRule="auto"/>
      </w:pPr>
      <w:r>
        <w:rPr>
          <w:rFonts w:ascii="Calibri" w:hAnsi="Calibri" w:eastAsia="Calibri" w:cs="Calibri"/>
          <w:b/>
          <w:bCs/>
          <w:color w:val="1A1A1A"/>
          <w:sz w:val="22"/>
          <w:szCs w:val="22"/>
        </w:rPr>
        <w:t>Subject matter:</w:t>
      </w:r>
      <w:r>
        <w:rPr>
          <w:rFonts w:ascii="Calibri" w:hAnsi="Calibri" w:eastAsia="Calibri" w:cs="Calibri"/>
          <w:color w:val="1A1A1A"/>
          <w:sz w:val="22"/>
          <w:szCs w:val="22"/>
        </w:rPr>
        <w:t xml:space="preserve"> Processing of Customer Personal Data as necessary to provide the Services.</w:t>
      </w:r>
    </w:p>
    <w:p w14:paraId="589CE13A">
      <w:pPr>
        <w:pStyle w:val="18"/>
        <w:numPr>
          <w:ilvl w:val="0"/>
          <w:numId w:val="1"/>
        </w:numPr>
        <w:spacing w:after="80" w:line="280" w:lineRule="auto"/>
      </w:pPr>
      <w:r>
        <w:rPr>
          <w:rFonts w:ascii="Calibri" w:hAnsi="Calibri" w:eastAsia="Calibri" w:cs="Calibri"/>
          <w:b/>
          <w:bCs/>
          <w:color w:val="1A1A1A"/>
          <w:sz w:val="22"/>
          <w:szCs w:val="22"/>
        </w:rPr>
        <w:t>Duration:</w:t>
      </w:r>
      <w:r>
        <w:rPr>
          <w:rFonts w:ascii="Calibri" w:hAnsi="Calibri" w:eastAsia="Calibri" w:cs="Calibri"/>
          <w:color w:val="1A1A1A"/>
          <w:sz w:val="22"/>
          <w:szCs w:val="22"/>
        </w:rPr>
        <w:t xml:space="preserve"> For the term of the Principal Agreement and any period thereafter required for return or deletion of data.</w:t>
      </w:r>
    </w:p>
    <w:p w14:paraId="38F51D9E">
      <w:pPr>
        <w:pStyle w:val="18"/>
        <w:numPr>
          <w:ilvl w:val="0"/>
          <w:numId w:val="1"/>
        </w:numPr>
        <w:spacing w:after="80" w:line="280" w:lineRule="auto"/>
      </w:pPr>
      <w:r>
        <w:rPr>
          <w:rFonts w:ascii="Calibri" w:hAnsi="Calibri" w:eastAsia="Calibri" w:cs="Calibri"/>
          <w:b/>
          <w:bCs/>
          <w:color w:val="1A1A1A"/>
          <w:sz w:val="22"/>
          <w:szCs w:val="22"/>
        </w:rPr>
        <w:t>Nature and purpose:</w:t>
      </w:r>
      <w:r>
        <w:rPr>
          <w:rFonts w:ascii="Calibri" w:hAnsi="Calibri" w:eastAsia="Calibri" w:cs="Calibri"/>
          <w:color w:val="1A1A1A"/>
          <w:sz w:val="22"/>
          <w:szCs w:val="22"/>
        </w:rPr>
        <w:t xml:space="preserve"> Order, inventory, warehouse, shipping, returns, NDR, and post-purchase operations on behalf of the Customer.</w:t>
      </w:r>
    </w:p>
    <w:p w14:paraId="68E95CBA">
      <w:pPr>
        <w:pStyle w:val="18"/>
        <w:numPr>
          <w:ilvl w:val="0"/>
          <w:numId w:val="1"/>
        </w:numPr>
        <w:spacing w:after="80" w:line="280" w:lineRule="auto"/>
      </w:pPr>
      <w:r>
        <w:rPr>
          <w:rFonts w:ascii="Calibri" w:hAnsi="Calibri" w:eastAsia="Calibri" w:cs="Calibri"/>
          <w:b/>
          <w:bCs/>
          <w:color w:val="1A1A1A"/>
          <w:sz w:val="22"/>
          <w:szCs w:val="22"/>
        </w:rPr>
        <w:t>Types of personal data:</w:t>
      </w:r>
      <w:r>
        <w:rPr>
          <w:rFonts w:ascii="Calibri" w:hAnsi="Calibri" w:eastAsia="Calibri" w:cs="Calibri"/>
          <w:color w:val="1A1A1A"/>
          <w:sz w:val="22"/>
          <w:szCs w:val="22"/>
        </w:rPr>
        <w:t xml:space="preserve"> Names, email addresses, phone numbers, shipping and billing addresses, order and transaction details, product details, payment status, communication preferences, and other data Customer chooses to upload.</w:t>
      </w:r>
    </w:p>
    <w:p w14:paraId="119A4254">
      <w:pPr>
        <w:pStyle w:val="18"/>
        <w:numPr>
          <w:ilvl w:val="0"/>
          <w:numId w:val="1"/>
        </w:numPr>
        <w:spacing w:after="80" w:line="280" w:lineRule="auto"/>
      </w:pPr>
      <w:r>
        <w:rPr>
          <w:rFonts w:ascii="Calibri" w:hAnsi="Calibri" w:eastAsia="Calibri" w:cs="Calibri"/>
          <w:b/>
          <w:bCs/>
          <w:color w:val="1A1A1A"/>
          <w:sz w:val="22"/>
          <w:szCs w:val="22"/>
        </w:rPr>
        <w:t>Categories of Data Principals:</w:t>
      </w:r>
      <w:r>
        <w:rPr>
          <w:rFonts w:ascii="Calibri" w:hAnsi="Calibri" w:eastAsia="Calibri" w:cs="Calibri"/>
          <w:color w:val="1A1A1A"/>
          <w:sz w:val="22"/>
          <w:szCs w:val="22"/>
        </w:rPr>
        <w:t xml:space="preserve"> Customer's end-customers, vendors, employees, and other individuals whose data Customer submits to the Services.</w:t>
      </w:r>
    </w:p>
    <w:p w14:paraId="1CE5569C">
      <w:pPr>
        <w:pBdr>
          <w:bottom w:val="single" w:color="2E75B6" w:sz="6" w:space="1"/>
        </w:pBdr>
        <w:spacing w:before="120" w:after="120"/>
      </w:pPr>
    </w:p>
    <w:p w14:paraId="056FE078">
      <w:pPr>
        <w:pStyle w:val="2"/>
        <w:pBdr>
          <w:bottom w:val="single" w:color="2E75B6" w:sz="8" w:space="4"/>
        </w:pBdr>
        <w:spacing w:before="360" w:after="200"/>
      </w:pPr>
      <w:r>
        <w:rPr>
          <w:rFonts w:ascii="Calibri" w:hAnsi="Calibri" w:eastAsia="Calibri" w:cs="Calibri"/>
          <w:b/>
          <w:bCs/>
          <w:color w:val="1F3A5F"/>
          <w:sz w:val="30"/>
          <w:szCs w:val="30"/>
        </w:rPr>
        <w:t>4. Customer Obligations</w:t>
      </w:r>
    </w:p>
    <w:p w14:paraId="517F95F1">
      <w:pPr>
        <w:spacing w:after="120" w:line="300" w:lineRule="auto"/>
        <w:jc w:val="both"/>
      </w:pPr>
      <w:r>
        <w:rPr>
          <w:rFonts w:ascii="Calibri" w:hAnsi="Calibri" w:eastAsia="Calibri" w:cs="Calibri"/>
          <w:color w:val="1A1A1A"/>
          <w:sz w:val="22"/>
          <w:szCs w:val="22"/>
        </w:rPr>
        <w:t>Customer represents and warrants that it:</w:t>
      </w:r>
    </w:p>
    <w:p w14:paraId="0EE2AA41">
      <w:pPr>
        <w:pStyle w:val="18"/>
        <w:numPr>
          <w:ilvl w:val="0"/>
          <w:numId w:val="1"/>
        </w:numPr>
        <w:spacing w:after="80" w:line="280" w:lineRule="auto"/>
      </w:pPr>
      <w:r>
        <w:rPr>
          <w:rFonts w:ascii="Calibri" w:hAnsi="Calibri" w:eastAsia="Calibri" w:cs="Calibri"/>
          <w:color w:val="1A1A1A"/>
          <w:sz w:val="22"/>
          <w:szCs w:val="22"/>
        </w:rPr>
        <w:t>Has all necessary rights, lawful bases, consents, and notices required to provide Customer Personal Data to Cobay</w:t>
      </w:r>
    </w:p>
    <w:p w14:paraId="0D7F7F11">
      <w:pPr>
        <w:pStyle w:val="18"/>
        <w:numPr>
          <w:ilvl w:val="0"/>
          <w:numId w:val="1"/>
        </w:numPr>
        <w:spacing w:after="80" w:line="280" w:lineRule="auto"/>
      </w:pPr>
      <w:r>
        <w:rPr>
          <w:rFonts w:ascii="Calibri" w:hAnsi="Calibri" w:eastAsia="Calibri" w:cs="Calibri"/>
          <w:color w:val="1A1A1A"/>
          <w:sz w:val="22"/>
          <w:szCs w:val="22"/>
        </w:rPr>
        <w:t>Will issue lawful instructions to Cobay</w:t>
      </w:r>
    </w:p>
    <w:p w14:paraId="3738E81A">
      <w:pPr>
        <w:pStyle w:val="18"/>
        <w:numPr>
          <w:ilvl w:val="0"/>
          <w:numId w:val="1"/>
        </w:numPr>
        <w:spacing w:after="80" w:line="280" w:lineRule="auto"/>
      </w:pPr>
      <w:r>
        <w:rPr>
          <w:rFonts w:ascii="Calibri" w:hAnsi="Calibri" w:eastAsia="Calibri" w:cs="Calibri"/>
          <w:color w:val="1A1A1A"/>
          <w:sz w:val="22"/>
          <w:szCs w:val="22"/>
        </w:rPr>
        <w:t>Will comply with Applicable Data Protection Laws in its use of the Services</w:t>
      </w:r>
    </w:p>
    <w:p w14:paraId="3E0F2E1A">
      <w:pPr>
        <w:pStyle w:val="18"/>
        <w:numPr>
          <w:ilvl w:val="0"/>
          <w:numId w:val="1"/>
        </w:numPr>
        <w:spacing w:after="80" w:line="280" w:lineRule="auto"/>
      </w:pPr>
      <w:r>
        <w:rPr>
          <w:rFonts w:ascii="Calibri" w:hAnsi="Calibri" w:eastAsia="Calibri" w:cs="Calibri"/>
          <w:color w:val="1A1A1A"/>
          <w:sz w:val="22"/>
          <w:szCs w:val="22"/>
        </w:rPr>
        <w:t>Is responsible for the accuracy and quality of Customer Personal Data</w:t>
      </w:r>
    </w:p>
    <w:p w14:paraId="1847ACA3">
      <w:pPr>
        <w:pBdr>
          <w:bottom w:val="single" w:color="2E75B6" w:sz="6" w:space="1"/>
        </w:pBdr>
        <w:spacing w:before="120" w:after="120"/>
      </w:pPr>
    </w:p>
    <w:p w14:paraId="3CB03F4B">
      <w:pPr>
        <w:pStyle w:val="2"/>
        <w:pBdr>
          <w:bottom w:val="single" w:color="2E75B6" w:sz="8" w:space="4"/>
        </w:pBdr>
        <w:spacing w:before="360" w:after="200"/>
      </w:pPr>
      <w:r>
        <w:rPr>
          <w:rFonts w:ascii="Calibri" w:hAnsi="Calibri" w:eastAsia="Calibri" w:cs="Calibri"/>
          <w:b/>
          <w:bCs/>
          <w:color w:val="1F3A5F"/>
          <w:sz w:val="30"/>
          <w:szCs w:val="30"/>
        </w:rPr>
        <w:t>5. Cobay's Obligations</w:t>
      </w:r>
    </w:p>
    <w:p w14:paraId="7A2372BE">
      <w:pPr>
        <w:spacing w:after="120" w:line="300" w:lineRule="auto"/>
        <w:jc w:val="both"/>
      </w:pPr>
      <w:r>
        <w:rPr>
          <w:rFonts w:ascii="Calibri" w:hAnsi="Calibri" w:eastAsia="Calibri" w:cs="Calibri"/>
          <w:color w:val="1A1A1A"/>
          <w:sz w:val="22"/>
          <w:szCs w:val="22"/>
        </w:rPr>
        <w:t>Cobay will:</w:t>
      </w:r>
    </w:p>
    <w:p w14:paraId="69E6C0C9">
      <w:pPr>
        <w:pStyle w:val="18"/>
        <w:numPr>
          <w:ilvl w:val="0"/>
          <w:numId w:val="1"/>
        </w:numPr>
        <w:spacing w:after="80" w:line="280" w:lineRule="auto"/>
      </w:pPr>
      <w:r>
        <w:rPr>
          <w:rFonts w:ascii="Calibri" w:hAnsi="Calibri" w:eastAsia="Calibri" w:cs="Calibri"/>
          <w:color w:val="1A1A1A"/>
          <w:sz w:val="22"/>
          <w:szCs w:val="22"/>
        </w:rPr>
        <w:t>Process Customer Personal Data only on documented instructions from Customer (including this DPA and the Principal Agreement)</w:t>
      </w:r>
    </w:p>
    <w:p w14:paraId="0995A5D9">
      <w:pPr>
        <w:pStyle w:val="18"/>
        <w:numPr>
          <w:ilvl w:val="0"/>
          <w:numId w:val="1"/>
        </w:numPr>
        <w:spacing w:after="80" w:line="280" w:lineRule="auto"/>
      </w:pPr>
      <w:r>
        <w:rPr>
          <w:rFonts w:ascii="Calibri" w:hAnsi="Calibri" w:eastAsia="Calibri" w:cs="Calibri"/>
          <w:color w:val="1A1A1A"/>
          <w:sz w:val="22"/>
          <w:szCs w:val="22"/>
        </w:rPr>
        <w:t>Not sell Customer Personal Data</w:t>
      </w:r>
    </w:p>
    <w:p w14:paraId="217C71FE">
      <w:pPr>
        <w:pStyle w:val="18"/>
        <w:numPr>
          <w:ilvl w:val="0"/>
          <w:numId w:val="1"/>
        </w:numPr>
        <w:spacing w:after="80" w:line="280" w:lineRule="auto"/>
      </w:pPr>
      <w:r>
        <w:rPr>
          <w:rFonts w:ascii="Calibri" w:hAnsi="Calibri" w:eastAsia="Calibri" w:cs="Calibri"/>
          <w:color w:val="1A1A1A"/>
          <w:sz w:val="22"/>
          <w:szCs w:val="22"/>
        </w:rPr>
        <w:t>Ensure persons authorized to process Customer Personal Data are bound by appropriate confidentiality obligations</w:t>
      </w:r>
    </w:p>
    <w:p w14:paraId="55A1B8AB">
      <w:pPr>
        <w:pStyle w:val="18"/>
        <w:numPr>
          <w:ilvl w:val="0"/>
          <w:numId w:val="1"/>
        </w:numPr>
        <w:spacing w:after="80" w:line="280" w:lineRule="auto"/>
      </w:pPr>
      <w:r>
        <w:rPr>
          <w:rFonts w:ascii="Calibri" w:hAnsi="Calibri" w:eastAsia="Calibri" w:cs="Calibri"/>
          <w:color w:val="1A1A1A"/>
          <w:sz w:val="22"/>
          <w:szCs w:val="22"/>
        </w:rPr>
        <w:t>Implement appropriate technical and organizational security measures (see Section 7)</w:t>
      </w:r>
    </w:p>
    <w:p w14:paraId="7B7FC838">
      <w:pPr>
        <w:pStyle w:val="18"/>
        <w:numPr>
          <w:ilvl w:val="0"/>
          <w:numId w:val="1"/>
        </w:numPr>
        <w:spacing w:after="80" w:line="280" w:lineRule="auto"/>
      </w:pPr>
      <w:r>
        <w:rPr>
          <w:rFonts w:ascii="Calibri" w:hAnsi="Calibri" w:eastAsia="Calibri" w:cs="Calibri"/>
          <w:color w:val="1A1A1A"/>
          <w:sz w:val="22"/>
          <w:szCs w:val="22"/>
        </w:rPr>
        <w:t>Notify Customer without undue delay of any legally binding request for disclosure of Customer Personal Data, unless prohibited by law</w:t>
      </w:r>
    </w:p>
    <w:p w14:paraId="72F426B8">
      <w:pPr>
        <w:pBdr>
          <w:bottom w:val="single" w:color="2E75B6" w:sz="6" w:space="1"/>
        </w:pBdr>
        <w:spacing w:before="120" w:after="120"/>
      </w:pPr>
    </w:p>
    <w:p w14:paraId="20F06921">
      <w:pPr>
        <w:pStyle w:val="2"/>
        <w:pBdr>
          <w:bottom w:val="single" w:color="2E75B6" w:sz="8" w:space="4"/>
        </w:pBdr>
        <w:spacing w:before="360" w:after="200"/>
      </w:pPr>
      <w:r>
        <w:rPr>
          <w:rFonts w:ascii="Calibri" w:hAnsi="Calibri" w:eastAsia="Calibri" w:cs="Calibri"/>
          <w:b/>
          <w:bCs/>
          <w:color w:val="1F3A5F"/>
          <w:sz w:val="30"/>
          <w:szCs w:val="30"/>
        </w:rPr>
        <w:t>6. Sub-Processors</w:t>
      </w:r>
    </w:p>
    <w:p w14:paraId="2293BA47">
      <w:pPr>
        <w:pStyle w:val="3"/>
        <w:spacing w:before="240" w:after="120"/>
      </w:pPr>
      <w:r>
        <w:rPr>
          <w:rFonts w:ascii="Calibri" w:hAnsi="Calibri" w:eastAsia="Calibri" w:cs="Calibri"/>
          <w:b/>
          <w:bCs/>
          <w:color w:val="1F3A5F"/>
          <w:sz w:val="24"/>
          <w:szCs w:val="24"/>
        </w:rPr>
        <w:t>6.1 Authorization</w:t>
      </w:r>
    </w:p>
    <w:p w14:paraId="0FD17FCF">
      <w:pPr>
        <w:spacing w:after="120" w:line="300" w:lineRule="auto"/>
        <w:jc w:val="both"/>
      </w:pPr>
      <w:r>
        <w:rPr>
          <w:rFonts w:ascii="Calibri" w:hAnsi="Calibri" w:eastAsia="Calibri" w:cs="Calibri"/>
          <w:color w:val="1A1A1A"/>
          <w:sz w:val="22"/>
          <w:szCs w:val="22"/>
        </w:rPr>
        <w:t>Customer provides general authorization for Cobay to engage Sub-processors to provide the Services, including cloud hosting, communication providers, analytics, and other operational tools. A list of current Sub-processors is available on request.</w:t>
      </w:r>
    </w:p>
    <w:p w14:paraId="749E9D50">
      <w:pPr>
        <w:pStyle w:val="3"/>
        <w:spacing w:before="240" w:after="120"/>
      </w:pPr>
      <w:r>
        <w:rPr>
          <w:rFonts w:ascii="Calibri" w:hAnsi="Calibri" w:eastAsia="Calibri" w:cs="Calibri"/>
          <w:b/>
          <w:bCs/>
          <w:color w:val="1F3A5F"/>
          <w:sz w:val="24"/>
          <w:szCs w:val="24"/>
        </w:rPr>
        <w:t>6.2 Obligations</w:t>
      </w:r>
    </w:p>
    <w:p w14:paraId="4B62BC82">
      <w:pPr>
        <w:spacing w:after="120" w:line="300" w:lineRule="auto"/>
        <w:jc w:val="both"/>
      </w:pPr>
      <w:r>
        <w:rPr>
          <w:rFonts w:ascii="Calibri" w:hAnsi="Calibri" w:eastAsia="Calibri" w:cs="Calibri"/>
          <w:color w:val="1A1A1A"/>
          <w:sz w:val="22"/>
          <w:szCs w:val="22"/>
        </w:rPr>
        <w:t>Cobay will impose data protection terms on each Sub-processor that are no less protective than this DPA. Cobay remains liable for the acts and omissions of its Sub-processors.</w:t>
      </w:r>
    </w:p>
    <w:p w14:paraId="2855B461">
      <w:pPr>
        <w:pStyle w:val="3"/>
        <w:spacing w:before="240" w:after="120"/>
      </w:pPr>
      <w:r>
        <w:rPr>
          <w:rFonts w:ascii="Calibri" w:hAnsi="Calibri" w:eastAsia="Calibri" w:cs="Calibri"/>
          <w:b/>
          <w:bCs/>
          <w:color w:val="1F3A5F"/>
          <w:sz w:val="24"/>
          <w:szCs w:val="24"/>
        </w:rPr>
        <w:t>6.3 Changes</w:t>
      </w:r>
    </w:p>
    <w:p w14:paraId="2EFAB759">
      <w:pPr>
        <w:spacing w:after="120" w:line="300" w:lineRule="auto"/>
        <w:jc w:val="both"/>
      </w:pPr>
      <w:r>
        <w:rPr>
          <w:rFonts w:ascii="Calibri" w:hAnsi="Calibri" w:eastAsia="Calibri" w:cs="Calibri"/>
          <w:color w:val="1A1A1A"/>
          <w:sz w:val="22"/>
          <w:szCs w:val="22"/>
        </w:rPr>
        <w:t>Cobay will notify Customer of intended additions or replacements of Sub-processors with reasonable advance notice. Customer may object on reasonable grounds related to data protection. If the parties cannot resolve the objection, Customer may terminate the affected portion of the Services.</w:t>
      </w:r>
    </w:p>
    <w:p w14:paraId="0D2B6AAC">
      <w:pPr>
        <w:pBdr>
          <w:bottom w:val="single" w:color="2E75B6" w:sz="6" w:space="1"/>
        </w:pBdr>
        <w:spacing w:before="120" w:after="120"/>
      </w:pPr>
    </w:p>
    <w:p w14:paraId="51D16DB7">
      <w:pPr>
        <w:pStyle w:val="2"/>
        <w:pBdr>
          <w:bottom w:val="single" w:color="2E75B6" w:sz="8" w:space="4"/>
        </w:pBdr>
        <w:spacing w:before="360" w:after="200"/>
      </w:pPr>
      <w:r>
        <w:rPr>
          <w:rFonts w:ascii="Calibri" w:hAnsi="Calibri" w:eastAsia="Calibri" w:cs="Calibri"/>
          <w:b/>
          <w:bCs/>
          <w:color w:val="1F3A5F"/>
          <w:sz w:val="30"/>
          <w:szCs w:val="30"/>
        </w:rPr>
        <w:t>7. Security</w:t>
      </w:r>
    </w:p>
    <w:p w14:paraId="5E4DA4B0">
      <w:pPr>
        <w:spacing w:after="120" w:line="300" w:lineRule="auto"/>
        <w:jc w:val="both"/>
      </w:pPr>
      <w:r>
        <w:rPr>
          <w:rFonts w:ascii="Calibri" w:hAnsi="Calibri" w:eastAsia="Calibri" w:cs="Calibri"/>
          <w:color w:val="1A1A1A"/>
          <w:sz w:val="22"/>
          <w:szCs w:val="22"/>
        </w:rPr>
        <w:t>Cobay will implement and maintain appropriate technical and organizational measures designed to protect Customer Personal Data against accidental or unlawful destruction, loss, alteration, unauthorized disclosure, or access. These include:</w:t>
      </w:r>
    </w:p>
    <w:p w14:paraId="01AE5EFD">
      <w:pPr>
        <w:pStyle w:val="18"/>
        <w:numPr>
          <w:ilvl w:val="0"/>
          <w:numId w:val="1"/>
        </w:numPr>
        <w:spacing w:after="80" w:line="280" w:lineRule="auto"/>
      </w:pPr>
      <w:r>
        <w:rPr>
          <w:rFonts w:ascii="Calibri" w:hAnsi="Calibri" w:eastAsia="Calibri" w:cs="Calibri"/>
          <w:color w:val="1A1A1A"/>
          <w:sz w:val="22"/>
          <w:szCs w:val="22"/>
        </w:rPr>
        <w:t>Encryption of data in transit</w:t>
      </w:r>
    </w:p>
    <w:p w14:paraId="0366C867">
      <w:pPr>
        <w:pStyle w:val="18"/>
        <w:numPr>
          <w:ilvl w:val="0"/>
          <w:numId w:val="1"/>
        </w:numPr>
        <w:spacing w:after="80" w:line="280" w:lineRule="auto"/>
      </w:pPr>
      <w:r>
        <w:rPr>
          <w:rFonts w:ascii="Calibri" w:hAnsi="Calibri" w:eastAsia="Calibri" w:cs="Calibri"/>
          <w:color w:val="1A1A1A"/>
          <w:sz w:val="22"/>
          <w:szCs w:val="22"/>
        </w:rPr>
        <w:t>Encryption of sensitive data at rest where appropriate</w:t>
      </w:r>
    </w:p>
    <w:p w14:paraId="591179AB">
      <w:pPr>
        <w:pStyle w:val="18"/>
        <w:numPr>
          <w:ilvl w:val="0"/>
          <w:numId w:val="1"/>
        </w:numPr>
        <w:spacing w:after="80" w:line="280" w:lineRule="auto"/>
      </w:pPr>
      <w:r>
        <w:rPr>
          <w:rFonts w:ascii="Calibri" w:hAnsi="Calibri" w:eastAsia="Calibri" w:cs="Calibri"/>
          <w:color w:val="1A1A1A"/>
          <w:sz w:val="22"/>
          <w:szCs w:val="22"/>
        </w:rPr>
        <w:t>Access controls based on the principle of least privilege</w:t>
      </w:r>
    </w:p>
    <w:p w14:paraId="53966FEA">
      <w:pPr>
        <w:pStyle w:val="18"/>
        <w:numPr>
          <w:ilvl w:val="0"/>
          <w:numId w:val="1"/>
        </w:numPr>
        <w:spacing w:after="80" w:line="280" w:lineRule="auto"/>
      </w:pPr>
      <w:r>
        <w:rPr>
          <w:rFonts w:ascii="Calibri" w:hAnsi="Calibri" w:eastAsia="Calibri" w:cs="Calibri"/>
          <w:color w:val="1A1A1A"/>
          <w:sz w:val="22"/>
          <w:szCs w:val="22"/>
        </w:rPr>
        <w:t>Logging and monitoring of access</w:t>
      </w:r>
    </w:p>
    <w:p w14:paraId="72D6B4FC">
      <w:pPr>
        <w:pStyle w:val="18"/>
        <w:numPr>
          <w:ilvl w:val="0"/>
          <w:numId w:val="1"/>
        </w:numPr>
        <w:spacing w:after="80" w:line="280" w:lineRule="auto"/>
      </w:pPr>
      <w:r>
        <w:rPr>
          <w:rFonts w:ascii="Calibri" w:hAnsi="Calibri" w:eastAsia="Calibri" w:cs="Calibri"/>
          <w:color w:val="1A1A1A"/>
          <w:sz w:val="22"/>
          <w:szCs w:val="22"/>
        </w:rPr>
        <w:t>Secure development practices</w:t>
      </w:r>
    </w:p>
    <w:p w14:paraId="550DBB0F">
      <w:pPr>
        <w:pStyle w:val="18"/>
        <w:numPr>
          <w:ilvl w:val="0"/>
          <w:numId w:val="1"/>
        </w:numPr>
        <w:spacing w:after="80" w:line="280" w:lineRule="auto"/>
      </w:pPr>
      <w:r>
        <w:rPr>
          <w:rFonts w:ascii="Calibri" w:hAnsi="Calibri" w:eastAsia="Calibri" w:cs="Calibri"/>
          <w:color w:val="1A1A1A"/>
          <w:sz w:val="22"/>
          <w:szCs w:val="22"/>
        </w:rPr>
        <w:t>Regular review of security controls</w:t>
      </w:r>
    </w:p>
    <w:p w14:paraId="599729FB">
      <w:pPr>
        <w:pStyle w:val="18"/>
        <w:numPr>
          <w:ilvl w:val="0"/>
          <w:numId w:val="1"/>
        </w:numPr>
        <w:spacing w:after="80" w:line="280" w:lineRule="auto"/>
      </w:pPr>
      <w:r>
        <w:rPr>
          <w:rFonts w:ascii="Calibri" w:hAnsi="Calibri" w:eastAsia="Calibri" w:cs="Calibri"/>
          <w:color w:val="1A1A1A"/>
          <w:sz w:val="22"/>
          <w:szCs w:val="22"/>
        </w:rPr>
        <w:t>Personnel training</w:t>
      </w:r>
    </w:p>
    <w:p w14:paraId="32635353">
      <w:pPr>
        <w:pStyle w:val="18"/>
        <w:numPr>
          <w:ilvl w:val="0"/>
          <w:numId w:val="1"/>
        </w:numPr>
        <w:spacing w:after="80" w:line="280" w:lineRule="auto"/>
      </w:pPr>
      <w:r>
        <w:rPr>
          <w:rFonts w:ascii="Calibri" w:hAnsi="Calibri" w:eastAsia="Calibri" w:cs="Calibri"/>
          <w:color w:val="1A1A1A"/>
          <w:sz w:val="22"/>
          <w:szCs w:val="22"/>
        </w:rPr>
        <w:t>Business continuity and disaster recovery measures</w:t>
      </w:r>
    </w:p>
    <w:p w14:paraId="152A21A7">
      <w:pPr>
        <w:spacing w:after="120" w:line="300" w:lineRule="auto"/>
        <w:jc w:val="both"/>
      </w:pPr>
      <w:r>
        <w:rPr>
          <w:rFonts w:ascii="Calibri" w:hAnsi="Calibri" w:eastAsia="Calibri" w:cs="Calibri"/>
          <w:color w:val="1A1A1A"/>
          <w:sz w:val="22"/>
          <w:szCs w:val="22"/>
        </w:rPr>
        <w:t>Cobay may update these measures from time to time, provided that the level of protection is not materially reduced.</w:t>
      </w:r>
    </w:p>
    <w:p w14:paraId="0ACA8740">
      <w:pPr>
        <w:pBdr>
          <w:bottom w:val="single" w:color="2E75B6" w:sz="6" w:space="1"/>
        </w:pBdr>
        <w:spacing w:before="120" w:after="120"/>
      </w:pPr>
    </w:p>
    <w:p w14:paraId="747D3392">
      <w:pPr>
        <w:pStyle w:val="2"/>
        <w:pBdr>
          <w:bottom w:val="single" w:color="2E75B6" w:sz="8" w:space="4"/>
        </w:pBdr>
        <w:spacing w:before="360" w:after="200"/>
      </w:pPr>
      <w:r>
        <w:rPr>
          <w:rFonts w:ascii="Calibri" w:hAnsi="Calibri" w:eastAsia="Calibri" w:cs="Calibri"/>
          <w:b/>
          <w:bCs/>
          <w:color w:val="1F3A5F"/>
          <w:sz w:val="30"/>
          <w:szCs w:val="30"/>
        </w:rPr>
        <w:t>8. Personal Data Breach</w:t>
      </w:r>
    </w:p>
    <w:p w14:paraId="61A6805B">
      <w:pPr>
        <w:spacing w:after="120" w:line="300" w:lineRule="auto"/>
        <w:jc w:val="both"/>
      </w:pPr>
      <w:r>
        <w:rPr>
          <w:rFonts w:ascii="Calibri" w:hAnsi="Calibri" w:eastAsia="Calibri" w:cs="Calibri"/>
          <w:color w:val="1A1A1A"/>
          <w:sz w:val="22"/>
          <w:szCs w:val="22"/>
        </w:rPr>
        <w:t xml:space="preserve">Cobay will notify Customer </w:t>
      </w:r>
      <w:r>
        <w:rPr>
          <w:rFonts w:ascii="Calibri" w:hAnsi="Calibri" w:eastAsia="Calibri" w:cs="Calibri"/>
          <w:b/>
          <w:bCs/>
          <w:color w:val="1A1A1A"/>
          <w:sz w:val="22"/>
          <w:szCs w:val="22"/>
        </w:rPr>
        <w:t>without undue delay</w:t>
      </w:r>
      <w:r>
        <w:rPr>
          <w:rFonts w:ascii="Calibri" w:hAnsi="Calibri" w:eastAsia="Calibri" w:cs="Calibri"/>
          <w:color w:val="1A1A1A"/>
          <w:sz w:val="22"/>
          <w:szCs w:val="22"/>
        </w:rPr>
        <w:t xml:space="preserve"> after becoming aware of a Personal Data Breach affecting Customer Personal Data, and will provide reasonable information to help Customer meet its notification obligations under Applicable Data Protection Laws. Cobay will take reasonable steps to mitigate and remediate the breach.</w:t>
      </w:r>
    </w:p>
    <w:p w14:paraId="692A7965">
      <w:pPr>
        <w:pBdr>
          <w:bottom w:val="single" w:color="2E75B6" w:sz="6" w:space="1"/>
        </w:pBdr>
        <w:spacing w:before="120" w:after="120"/>
      </w:pPr>
    </w:p>
    <w:p w14:paraId="01185A75">
      <w:pPr>
        <w:pStyle w:val="2"/>
        <w:pBdr>
          <w:bottom w:val="single" w:color="2E75B6" w:sz="8" w:space="4"/>
        </w:pBdr>
        <w:spacing w:before="360" w:after="200"/>
      </w:pPr>
      <w:r>
        <w:rPr>
          <w:rFonts w:ascii="Calibri" w:hAnsi="Calibri" w:eastAsia="Calibri" w:cs="Calibri"/>
          <w:b/>
          <w:bCs/>
          <w:color w:val="1F3A5F"/>
          <w:sz w:val="30"/>
          <w:szCs w:val="30"/>
        </w:rPr>
        <w:t>9. Data Principal Rights and Cooperation</w:t>
      </w:r>
    </w:p>
    <w:p w14:paraId="6D0546C1">
      <w:pPr>
        <w:spacing w:after="120" w:line="300" w:lineRule="auto"/>
        <w:jc w:val="both"/>
      </w:pPr>
      <w:r>
        <w:rPr>
          <w:rFonts w:ascii="Calibri" w:hAnsi="Calibri" w:eastAsia="Calibri" w:cs="Calibri"/>
          <w:color w:val="1A1A1A"/>
          <w:sz w:val="22"/>
          <w:szCs w:val="22"/>
        </w:rPr>
        <w:t>Cobay will, taking into account the nature of the processing, provide reasonable assistance to Customer in:</w:t>
      </w:r>
    </w:p>
    <w:p w14:paraId="73D58FBC">
      <w:pPr>
        <w:pStyle w:val="18"/>
        <w:numPr>
          <w:ilvl w:val="0"/>
          <w:numId w:val="1"/>
        </w:numPr>
        <w:spacing w:after="80" w:line="280" w:lineRule="auto"/>
      </w:pPr>
      <w:r>
        <w:rPr>
          <w:rFonts w:ascii="Calibri" w:hAnsi="Calibri" w:eastAsia="Calibri" w:cs="Calibri"/>
          <w:color w:val="1A1A1A"/>
          <w:sz w:val="22"/>
          <w:szCs w:val="22"/>
        </w:rPr>
        <w:t>Responding to requests from Data Principals to exercise their rights (access, correction, erasure, withdrawal of consent, nomination, etc.)</w:t>
      </w:r>
    </w:p>
    <w:p w14:paraId="0377827C">
      <w:pPr>
        <w:pStyle w:val="18"/>
        <w:numPr>
          <w:ilvl w:val="0"/>
          <w:numId w:val="1"/>
        </w:numPr>
        <w:spacing w:after="80" w:line="280" w:lineRule="auto"/>
      </w:pPr>
      <w:r>
        <w:rPr>
          <w:rFonts w:ascii="Calibri" w:hAnsi="Calibri" w:eastAsia="Calibri" w:cs="Calibri"/>
          <w:color w:val="1A1A1A"/>
          <w:sz w:val="22"/>
          <w:szCs w:val="22"/>
        </w:rPr>
        <w:t>Complying with data protection impact assessments and prior consultations with authorities</w:t>
      </w:r>
    </w:p>
    <w:p w14:paraId="5C0BE941">
      <w:pPr>
        <w:pStyle w:val="18"/>
        <w:numPr>
          <w:ilvl w:val="0"/>
          <w:numId w:val="1"/>
        </w:numPr>
        <w:spacing w:after="80" w:line="280" w:lineRule="auto"/>
      </w:pPr>
      <w:r>
        <w:rPr>
          <w:rFonts w:ascii="Calibri" w:hAnsi="Calibri" w:eastAsia="Calibri" w:cs="Calibri"/>
          <w:color w:val="1A1A1A"/>
          <w:sz w:val="22"/>
          <w:szCs w:val="22"/>
        </w:rPr>
        <w:t>Demonstrating compliance with Applicable Data Protection Laws</w:t>
      </w:r>
    </w:p>
    <w:p w14:paraId="3A42FBB3">
      <w:pPr>
        <w:spacing w:after="120" w:line="300" w:lineRule="auto"/>
        <w:jc w:val="both"/>
      </w:pPr>
      <w:r>
        <w:rPr>
          <w:rFonts w:ascii="Calibri" w:hAnsi="Calibri" w:eastAsia="Calibri" w:cs="Calibri"/>
          <w:color w:val="1A1A1A"/>
          <w:sz w:val="22"/>
          <w:szCs w:val="22"/>
        </w:rPr>
        <w:t>If Cobay receives a request from a Data Principal regarding Customer Personal Data, Cobay will, where legally permitted, forward the request to Customer rather than respond directly.</w:t>
      </w:r>
    </w:p>
    <w:p w14:paraId="1D686687">
      <w:pPr>
        <w:pBdr>
          <w:bottom w:val="single" w:color="2E75B6" w:sz="6" w:space="1"/>
        </w:pBdr>
        <w:spacing w:before="120" w:after="120"/>
      </w:pPr>
    </w:p>
    <w:p w14:paraId="02D57596">
      <w:pPr>
        <w:pStyle w:val="2"/>
        <w:pBdr>
          <w:bottom w:val="single" w:color="2E75B6" w:sz="8" w:space="4"/>
        </w:pBdr>
        <w:spacing w:before="360" w:after="200"/>
      </w:pPr>
      <w:r>
        <w:rPr>
          <w:rFonts w:ascii="Calibri" w:hAnsi="Calibri" w:eastAsia="Calibri" w:cs="Calibri"/>
          <w:b/>
          <w:bCs/>
          <w:color w:val="1F3A5F"/>
          <w:sz w:val="30"/>
          <w:szCs w:val="30"/>
        </w:rPr>
        <w:t>10. International Data Transfers</w:t>
      </w:r>
    </w:p>
    <w:p w14:paraId="0F8AC888">
      <w:pPr>
        <w:spacing w:after="120" w:line="300" w:lineRule="auto"/>
        <w:jc w:val="both"/>
      </w:pPr>
      <w:r>
        <w:rPr>
          <w:rFonts w:ascii="Calibri" w:hAnsi="Calibri" w:eastAsia="Calibri" w:cs="Calibri"/>
          <w:color w:val="1A1A1A"/>
          <w:sz w:val="22"/>
          <w:szCs w:val="22"/>
        </w:rPr>
        <w:t>Cobay is based in India and may engage Sub-processors located in other jurisdictions. Where Customer Personal Data is transferred internationally, Cobay will implement appropriate safeguards as required by Applicable Data Protection Laws, including standard contractual clauses or other approved mechanisms.</w:t>
      </w:r>
    </w:p>
    <w:p w14:paraId="7CF2281B">
      <w:pPr>
        <w:pBdr>
          <w:bottom w:val="single" w:color="2E75B6" w:sz="6" w:space="1"/>
        </w:pBdr>
        <w:spacing w:before="120" w:after="120"/>
      </w:pPr>
    </w:p>
    <w:p w14:paraId="001CA75C">
      <w:pPr>
        <w:pStyle w:val="2"/>
        <w:pBdr>
          <w:bottom w:val="single" w:color="2E75B6" w:sz="8" w:space="4"/>
        </w:pBdr>
        <w:spacing w:before="360" w:after="200"/>
      </w:pPr>
      <w:r>
        <w:rPr>
          <w:rFonts w:ascii="Calibri" w:hAnsi="Calibri" w:eastAsia="Calibri" w:cs="Calibri"/>
          <w:b/>
          <w:bCs/>
          <w:color w:val="1F3A5F"/>
          <w:sz w:val="30"/>
          <w:szCs w:val="30"/>
        </w:rPr>
        <w:t>11. Audit Rights</w:t>
      </w:r>
    </w:p>
    <w:p w14:paraId="5058EBE3">
      <w:pPr>
        <w:spacing w:after="120" w:line="300" w:lineRule="auto"/>
        <w:jc w:val="both"/>
      </w:pPr>
      <w:r>
        <w:rPr>
          <w:rFonts w:ascii="Calibri" w:hAnsi="Calibri" w:eastAsia="Calibri" w:cs="Calibri"/>
          <w:color w:val="1A1A1A"/>
          <w:sz w:val="22"/>
          <w:szCs w:val="22"/>
        </w:rPr>
        <w:t>Cobay will make available to Customer information reasonably necessary to demonstrate compliance with this DPA. Where Customer reasonably requires further information, the parties will agree in advance on the scope, timing, and cost of an audit. Audits will be conducted no more than once per year (except in case of a Personal Data Breach or regulatory requirement), during normal business hours, with at least 30 days' notice, and subject to confidentiality.</w:t>
      </w:r>
    </w:p>
    <w:p w14:paraId="772725DA">
      <w:pPr>
        <w:pBdr>
          <w:bottom w:val="single" w:color="2E75B6" w:sz="6" w:space="1"/>
        </w:pBdr>
        <w:spacing w:before="120" w:after="120"/>
      </w:pPr>
    </w:p>
    <w:p w14:paraId="6C4612D8">
      <w:pPr>
        <w:pStyle w:val="2"/>
        <w:pBdr>
          <w:bottom w:val="single" w:color="2E75B6" w:sz="8" w:space="4"/>
        </w:pBdr>
        <w:spacing w:before="360" w:after="200"/>
      </w:pPr>
      <w:r>
        <w:rPr>
          <w:rFonts w:ascii="Calibri" w:hAnsi="Calibri" w:eastAsia="Calibri" w:cs="Calibri"/>
          <w:b/>
          <w:bCs/>
          <w:color w:val="1F3A5F"/>
          <w:sz w:val="30"/>
          <w:szCs w:val="30"/>
        </w:rPr>
        <w:t>12. Return or Deletion of Data</w:t>
      </w:r>
    </w:p>
    <w:p w14:paraId="54FE1B86">
      <w:pPr>
        <w:spacing w:after="120" w:line="300" w:lineRule="auto"/>
        <w:jc w:val="both"/>
      </w:pPr>
      <w:r>
        <w:rPr>
          <w:rFonts w:ascii="Calibri" w:hAnsi="Calibri" w:eastAsia="Calibri" w:cs="Calibri"/>
          <w:color w:val="1A1A1A"/>
          <w:sz w:val="22"/>
          <w:szCs w:val="22"/>
        </w:rPr>
        <w:t xml:space="preserve">Upon termination or expiration of the Principal Agreement, Cobay will, at Customer's choice, return or delete Customer Personal Data, except to the extent retention is required by law. Customer Data will be available for export for </w:t>
      </w:r>
      <w:r>
        <w:rPr>
          <w:rFonts w:ascii="Calibri" w:hAnsi="Calibri" w:eastAsia="Calibri" w:cs="Calibri"/>
          <w:b/>
          <w:bCs/>
          <w:color w:val="1A1A1A"/>
          <w:sz w:val="22"/>
          <w:szCs w:val="22"/>
        </w:rPr>
        <w:t>30 days</w:t>
      </w:r>
      <w:r>
        <w:rPr>
          <w:rFonts w:ascii="Calibri" w:hAnsi="Calibri" w:eastAsia="Calibri" w:cs="Calibri"/>
          <w:color w:val="1A1A1A"/>
          <w:sz w:val="22"/>
          <w:szCs w:val="22"/>
        </w:rPr>
        <w:t xml:space="preserve"> after termination, after which Cobay may delete it from active systems. Backups will be deleted in accordance with Cobay's standard retention schedules.</w:t>
      </w:r>
    </w:p>
    <w:p w14:paraId="23A62232">
      <w:pPr>
        <w:pBdr>
          <w:bottom w:val="single" w:color="2E75B6" w:sz="6" w:space="1"/>
        </w:pBdr>
        <w:spacing w:before="120" w:after="120"/>
      </w:pPr>
    </w:p>
    <w:p w14:paraId="3CADC46B">
      <w:pPr>
        <w:pStyle w:val="2"/>
        <w:pBdr>
          <w:bottom w:val="single" w:color="2E75B6" w:sz="8" w:space="4"/>
        </w:pBdr>
        <w:spacing w:before="360" w:after="200"/>
      </w:pPr>
      <w:r>
        <w:rPr>
          <w:rFonts w:ascii="Calibri" w:hAnsi="Calibri" w:eastAsia="Calibri" w:cs="Calibri"/>
          <w:b/>
          <w:bCs/>
          <w:color w:val="1F3A5F"/>
          <w:sz w:val="30"/>
          <w:szCs w:val="30"/>
        </w:rPr>
        <w:t>13. Liability</w:t>
      </w:r>
    </w:p>
    <w:p w14:paraId="0578D841">
      <w:pPr>
        <w:spacing w:after="120" w:line="300" w:lineRule="auto"/>
        <w:jc w:val="both"/>
      </w:pPr>
      <w:r>
        <w:rPr>
          <w:rFonts w:ascii="Calibri" w:hAnsi="Calibri" w:eastAsia="Calibri" w:cs="Calibri"/>
          <w:color w:val="1A1A1A"/>
          <w:sz w:val="22"/>
          <w:szCs w:val="22"/>
        </w:rPr>
        <w:t>The liability of each party under this DPA is subject to the limitations and exclusions of liability set out in the Principal Agreement.</w:t>
      </w:r>
    </w:p>
    <w:p w14:paraId="530E9074">
      <w:pPr>
        <w:pBdr>
          <w:bottom w:val="single" w:color="2E75B6" w:sz="6" w:space="1"/>
        </w:pBdr>
        <w:spacing w:before="120" w:after="120"/>
      </w:pPr>
    </w:p>
    <w:p w14:paraId="7994DA62">
      <w:pPr>
        <w:pStyle w:val="2"/>
        <w:pBdr>
          <w:bottom w:val="single" w:color="2E75B6" w:sz="8" w:space="4"/>
        </w:pBdr>
        <w:spacing w:before="360" w:after="200"/>
      </w:pPr>
      <w:r>
        <w:rPr>
          <w:rFonts w:ascii="Calibri" w:hAnsi="Calibri" w:eastAsia="Calibri" w:cs="Calibri"/>
          <w:b/>
          <w:bCs/>
          <w:color w:val="1F3A5F"/>
          <w:sz w:val="30"/>
          <w:szCs w:val="30"/>
        </w:rPr>
        <w:t>14. Order of Precedence</w:t>
      </w:r>
    </w:p>
    <w:p w14:paraId="7A14C186">
      <w:pPr>
        <w:spacing w:after="120" w:line="300" w:lineRule="auto"/>
        <w:jc w:val="both"/>
      </w:pPr>
      <w:r>
        <w:rPr>
          <w:rFonts w:ascii="Calibri" w:hAnsi="Calibri" w:eastAsia="Calibri" w:cs="Calibri"/>
          <w:color w:val="1A1A1A"/>
          <w:sz w:val="22"/>
          <w:szCs w:val="22"/>
        </w:rPr>
        <w:t>In case of conflict, the order of precedence is:</w:t>
      </w:r>
    </w:p>
    <w:p w14:paraId="18E8CB52">
      <w:pPr>
        <w:pStyle w:val="18"/>
        <w:numPr>
          <w:ilvl w:val="0"/>
          <w:numId w:val="2"/>
        </w:numPr>
        <w:spacing w:after="80" w:line="280" w:lineRule="auto"/>
      </w:pPr>
      <w:r>
        <w:rPr>
          <w:rFonts w:ascii="Calibri" w:hAnsi="Calibri" w:eastAsia="Calibri" w:cs="Calibri"/>
          <w:color w:val="1A1A1A"/>
          <w:sz w:val="22"/>
          <w:szCs w:val="22"/>
        </w:rPr>
        <w:t>Applicable Data Protection Laws</w:t>
      </w:r>
    </w:p>
    <w:p w14:paraId="2D027D4E">
      <w:pPr>
        <w:pStyle w:val="18"/>
        <w:numPr>
          <w:ilvl w:val="0"/>
          <w:numId w:val="2"/>
        </w:numPr>
        <w:spacing w:after="80" w:line="280" w:lineRule="auto"/>
      </w:pPr>
      <w:r>
        <w:rPr>
          <w:rFonts w:ascii="Calibri" w:hAnsi="Calibri" w:eastAsia="Calibri" w:cs="Calibri"/>
          <w:color w:val="1A1A1A"/>
          <w:sz w:val="22"/>
          <w:szCs w:val="22"/>
        </w:rPr>
        <w:t>This DPA</w:t>
      </w:r>
    </w:p>
    <w:p w14:paraId="3963650F">
      <w:pPr>
        <w:pStyle w:val="18"/>
        <w:numPr>
          <w:ilvl w:val="0"/>
          <w:numId w:val="2"/>
        </w:numPr>
        <w:spacing w:after="80" w:line="280" w:lineRule="auto"/>
      </w:pPr>
      <w:r>
        <w:rPr>
          <w:rFonts w:ascii="Calibri" w:hAnsi="Calibri" w:eastAsia="Calibri" w:cs="Calibri"/>
          <w:color w:val="1A1A1A"/>
          <w:sz w:val="22"/>
          <w:szCs w:val="22"/>
        </w:rPr>
        <w:t>The Principal Agreement</w:t>
      </w:r>
    </w:p>
    <w:p w14:paraId="2C23964F">
      <w:pPr>
        <w:pBdr>
          <w:bottom w:val="single" w:color="2E75B6" w:sz="6" w:space="1"/>
        </w:pBdr>
        <w:spacing w:before="120" w:after="120"/>
      </w:pPr>
    </w:p>
    <w:p w14:paraId="046B1294">
      <w:pPr>
        <w:pStyle w:val="2"/>
        <w:pBdr>
          <w:bottom w:val="single" w:color="2E75B6" w:sz="8" w:space="4"/>
        </w:pBdr>
        <w:spacing w:before="360" w:after="200"/>
      </w:pPr>
      <w:r>
        <w:rPr>
          <w:rFonts w:ascii="Calibri" w:hAnsi="Calibri" w:eastAsia="Calibri" w:cs="Calibri"/>
          <w:b/>
          <w:bCs/>
          <w:color w:val="1F3A5F"/>
          <w:sz w:val="30"/>
          <w:szCs w:val="30"/>
        </w:rPr>
        <w:t>15. Governing Law</w:t>
      </w:r>
    </w:p>
    <w:p w14:paraId="5EC87241">
      <w:pPr>
        <w:spacing w:after="120" w:line="300" w:lineRule="auto"/>
        <w:jc w:val="both"/>
      </w:pPr>
      <w:r>
        <w:rPr>
          <w:rFonts w:ascii="Calibri" w:hAnsi="Calibri" w:eastAsia="Calibri" w:cs="Calibri"/>
          <w:color w:val="1A1A1A"/>
          <w:sz w:val="22"/>
          <w:szCs w:val="22"/>
        </w:rPr>
        <w:t>This DPA is governed by the laws of India, consistent with the Principal Agreement.</w:t>
      </w:r>
    </w:p>
    <w:p w14:paraId="616876F1">
      <w:pPr>
        <w:pBdr>
          <w:bottom w:val="single" w:color="2E75B6" w:sz="6" w:space="1"/>
        </w:pBdr>
        <w:spacing w:before="120" w:after="120"/>
      </w:pPr>
    </w:p>
    <w:p w14:paraId="6E229A9B">
      <w:pPr>
        <w:pStyle w:val="2"/>
        <w:pBdr>
          <w:bottom w:val="single" w:color="2E75B6" w:sz="8" w:space="4"/>
        </w:pBdr>
        <w:spacing w:before="360" w:after="200"/>
      </w:pPr>
      <w:r>
        <w:rPr>
          <w:rFonts w:ascii="Calibri" w:hAnsi="Calibri" w:eastAsia="Calibri" w:cs="Calibri"/>
          <w:b/>
          <w:bCs/>
          <w:color w:val="1F3A5F"/>
          <w:sz w:val="30"/>
          <w:szCs w:val="30"/>
        </w:rPr>
        <w:t>16. Contact</w:t>
      </w:r>
    </w:p>
    <w:p w14:paraId="67CF5F2F">
      <w:pPr>
        <w:spacing w:after="120" w:line="300" w:lineRule="auto"/>
        <w:jc w:val="both"/>
      </w:pPr>
      <w:r>
        <w:rPr>
          <w:rFonts w:ascii="Calibri" w:hAnsi="Calibri" w:eastAsia="Calibri" w:cs="Calibri"/>
          <w:color w:val="1A1A1A"/>
          <w:sz w:val="22"/>
          <w:szCs w:val="22"/>
        </w:rPr>
        <w:t>For questions about this DPA or to issue instructions, contact:</w:t>
      </w:r>
    </w:p>
    <w:p w14:paraId="0650D8F1">
      <w:pPr>
        <w:spacing w:after="120" w:line="300" w:lineRule="auto"/>
        <w:jc w:val="both"/>
      </w:pPr>
      <w:r>
        <w:rPr>
          <w:rFonts w:ascii="Calibri" w:hAnsi="Calibri" w:eastAsia="Calibri" w:cs="Calibri"/>
          <w:b/>
          <w:bCs/>
          <w:color w:val="1A1A1A"/>
          <w:sz w:val="22"/>
          <w:szCs w:val="22"/>
        </w:rPr>
        <w:t>Email:</w:t>
      </w:r>
      <w:r>
        <w:rPr>
          <w:rFonts w:ascii="Calibri" w:hAnsi="Calibri" w:eastAsia="Calibri" w:cs="Calibri"/>
          <w:color w:val="1A1A1A"/>
          <w:sz w:val="22"/>
          <w:szCs w:val="22"/>
        </w:rPr>
        <w:t xml:space="preserve"> privacy@cobay.com</w:t>
      </w:r>
    </w:p>
    <w:p w14:paraId="7177D313">
      <w:pPr>
        <w:spacing w:after="120" w:line="300" w:lineRule="auto"/>
        <w:jc w:val="both"/>
      </w:pPr>
      <w:r>
        <w:rPr>
          <w:rFonts w:ascii="Calibri" w:hAnsi="Calibri" w:eastAsia="Calibri" w:cs="Calibri"/>
          <w:b/>
          <w:bCs/>
          <w:color w:val="1A1A1A"/>
          <w:sz w:val="22"/>
          <w:szCs w:val="22"/>
        </w:rPr>
        <w:t>Postal:</w:t>
      </w:r>
      <w:r>
        <w:rPr>
          <w:rFonts w:ascii="Calibri" w:hAnsi="Calibri" w:eastAsia="Calibri" w:cs="Calibri"/>
          <w:color w:val="1A1A1A"/>
          <w:sz w:val="22"/>
          <w:szCs w:val="22"/>
        </w:rPr>
        <w:t xml:space="preserve"> Cobay Technology Private Limited, 15-2, 15-3, Kovaipudur Road, Coimbatore, 641042, Tamil Nadu, India</w:t>
      </w:r>
    </w:p>
    <w:sectPr>
      <w:head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2743">
    <w:pPr>
      <w:pStyle w:val="15"/>
    </w:pPr>
    <w:r>
      <w:rPr>
        <w:rFonts w:hint="default"/>
        <w:lang w:val="en-US"/>
      </w:rPr>
      <w:drawing>
        <wp:anchor distT="0" distB="0" distL="114300" distR="114300" simplePos="0" relativeHeight="251659264" behindDoc="0" locked="0" layoutInCell="1" allowOverlap="1">
          <wp:simplePos x="0" y="0"/>
          <wp:positionH relativeFrom="column">
            <wp:posOffset>5067300</wp:posOffset>
          </wp:positionH>
          <wp:positionV relativeFrom="paragraph">
            <wp:posOffset>-50800</wp:posOffset>
          </wp:positionV>
          <wp:extent cx="1327785" cy="488315"/>
          <wp:effectExtent l="0" t="0" r="0" b="7620"/>
          <wp:wrapNone/>
          <wp:docPr id="1" name="Picture 1" descr="Co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bay Logo"/>
                  <pic:cNvPicPr>
                    <a:picLocks noChangeAspect="1"/>
                  </pic:cNvPicPr>
                </pic:nvPicPr>
                <pic:blipFill>
                  <a:blip r:embed="rId1"/>
                  <a:stretch>
                    <a:fillRect/>
                  </a:stretch>
                </pic:blipFill>
                <pic:spPr>
                  <a:xfrm>
                    <a:off x="0" y="0"/>
                    <a:ext cx="1327785" cy="4883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singleLevel"/>
    <w:tmpl w:val="0248C179"/>
    <w:lvl w:ilvl="0" w:tentative="0">
      <w:start w:val="1"/>
      <w:numFmt w:val="bullet"/>
      <w:lvlText w:val="■"/>
      <w:lvlJc w:val="left"/>
      <w:pPr>
        <w:ind w:left="720" w:hanging="360"/>
      </w:pPr>
      <w:rPr>
        <w:color w:val="2E75B6"/>
      </w:rPr>
    </w:lvl>
  </w:abstractNum>
  <w:abstractNum w:abstractNumId="1">
    <w:nsid w:val="2A8F537B"/>
    <w:multiLevelType w:val="singleLevel"/>
    <w:tmpl w:val="2A8F537B"/>
    <w:lvl w:ilvl="0" w:tentative="0">
      <w:start w:val="1"/>
      <w:numFmt w:val="decimal"/>
      <w:lvlText w:val="%1."/>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compatSetting w:name="compatibilityMode" w:uri="http://schemas.microsoft.com/office/word" w:val="15"/>
  </w:compat>
  <w:rsids>
    <w:rsidRoot w:val="00000000"/>
    <w:rsid w:val="62655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color w:val="1A1A1A"/>
      <w:sz w:val="22"/>
      <w:szCs w:val="22"/>
    </w:rPr>
  </w:style>
  <w:style w:type="paragraph" w:styleId="2">
    <w:name w:val="heading 1"/>
    <w:next w:val="1"/>
    <w:qFormat/>
    <w:uiPriority w:val="0"/>
    <w:pPr>
      <w:spacing w:before="360" w:after="200"/>
      <w:outlineLvl w:val="0"/>
    </w:pPr>
    <w:rPr>
      <w:rFonts w:ascii="Calibri" w:hAnsi="Calibri" w:eastAsia="Calibri" w:cs="Calibri"/>
      <w:b/>
      <w:bCs/>
      <w:color w:val="1F3A5F"/>
      <w:sz w:val="30"/>
      <w:szCs w:val="30"/>
    </w:rPr>
  </w:style>
  <w:style w:type="paragraph" w:styleId="3">
    <w:name w:val="heading 2"/>
    <w:next w:val="1"/>
    <w:qFormat/>
    <w:uiPriority w:val="0"/>
    <w:pPr>
      <w:spacing w:before="240" w:after="120"/>
      <w:outlineLvl w:val="1"/>
    </w:pPr>
    <w:rPr>
      <w:rFonts w:ascii="Calibri" w:hAnsi="Calibri" w:eastAsia="Calibri" w:cs="Calibri"/>
      <w:b/>
      <w:bCs/>
      <w:color w:val="1F3A5F"/>
      <w:sz w:val="24"/>
      <w:szCs w:val="24"/>
    </w:rPr>
  </w:style>
  <w:style w:type="paragraph" w:styleId="4">
    <w:name w:val="heading 3"/>
    <w:next w:val="1"/>
    <w:qFormat/>
    <w:uiPriority w:val="0"/>
    <w:pPr>
      <w:spacing w:before="200" w:after="100"/>
      <w:outlineLvl w:val="2"/>
    </w:pPr>
    <w:rPr>
      <w:rFonts w:ascii="Calibri" w:hAnsi="Calibri" w:eastAsia="Calibri" w:cs="Calibri"/>
      <w:b/>
      <w:bCs/>
      <w:color w:val="1F3A5F"/>
      <w:sz w:val="22"/>
      <w:szCs w:val="22"/>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20"/>
    <w:semiHidden/>
    <w:unhideWhenUsed/>
    <w:qFormat/>
    <w:uiPriority w:val="99"/>
    <w:pPr>
      <w:spacing w:after="0" w:line="240" w:lineRule="auto"/>
    </w:pPr>
    <w:rPr>
      <w:rFonts w:ascii="Calibri" w:hAnsi="Calibri" w:eastAsia="Calibri" w:cs="Calibri"/>
      <w:color w:val="1A1A1A"/>
      <w:sz w:val="20"/>
      <w:szCs w:val="20"/>
    </w:rPr>
  </w:style>
  <w:style w:type="paragraph" w:styleId="12">
    <w:name w:val="footer"/>
    <w:basedOn w:val="1"/>
    <w:uiPriority w:val="0"/>
    <w:pPr>
      <w:tabs>
        <w:tab w:val="center" w:pos="4153"/>
        <w:tab w:val="right" w:pos="8306"/>
      </w:tabs>
      <w:snapToGrid w:val="0"/>
      <w:jc w:val="left"/>
    </w:pPr>
    <w:rPr>
      <w:sz w:val="18"/>
      <w:szCs w:val="18"/>
    </w:rPr>
  </w:style>
  <w:style w:type="character" w:styleId="13">
    <w:name w:val="footnote reference"/>
    <w:semiHidden/>
    <w:unhideWhenUsed/>
    <w:qFormat/>
    <w:uiPriority w:val="99"/>
    <w:rPr>
      <w:vertAlign w:val="superscript"/>
    </w:rPr>
  </w:style>
  <w:style w:type="paragraph" w:styleId="14">
    <w:name w:val="footnote text"/>
    <w:link w:val="19"/>
    <w:semiHidden/>
    <w:unhideWhenUsed/>
    <w:qFormat/>
    <w:uiPriority w:val="99"/>
    <w:pPr>
      <w:spacing w:after="0" w:line="240" w:lineRule="auto"/>
    </w:pPr>
    <w:rPr>
      <w:rFonts w:ascii="Calibri" w:hAnsi="Calibri" w:eastAsia="Calibri" w:cs="Calibri"/>
      <w:color w:val="1A1A1A"/>
      <w:sz w:val="20"/>
      <w:szCs w:val="20"/>
    </w:rPr>
  </w:style>
  <w:style w:type="paragraph" w:styleId="15">
    <w:name w:val="header"/>
    <w:basedOn w:val="1"/>
    <w:uiPriority w:val="0"/>
    <w:pPr>
      <w:tabs>
        <w:tab w:val="center" w:pos="4153"/>
        <w:tab w:val="right" w:pos="8306"/>
      </w:tabs>
      <w:snapToGrid w:val="0"/>
    </w:pPr>
    <w:rPr>
      <w:sz w:val="18"/>
      <w:szCs w:val="18"/>
    </w:rPr>
  </w:style>
  <w:style w:type="character" w:styleId="16">
    <w:name w:val="Hyperlink"/>
    <w:unhideWhenUsed/>
    <w:qFormat/>
    <w:uiPriority w:val="99"/>
    <w:rPr>
      <w:color w:val="0563C1"/>
      <w:u w:val="single"/>
    </w:rPr>
  </w:style>
  <w:style w:type="paragraph" w:styleId="17">
    <w:name w:val="Title"/>
    <w:qFormat/>
    <w:uiPriority w:val="0"/>
    <w:rPr>
      <w:rFonts w:ascii="Calibri" w:hAnsi="Calibri" w:eastAsia="Calibri" w:cs="Calibri"/>
      <w:color w:val="1A1A1A"/>
      <w:sz w:val="56"/>
      <w:szCs w:val="56"/>
    </w:rPr>
  </w:style>
  <w:style w:type="paragraph" w:styleId="18">
    <w:name w:val="List Paragraph"/>
    <w:qFormat/>
    <w:uiPriority w:val="0"/>
    <w:rPr>
      <w:rFonts w:ascii="Calibri" w:hAnsi="Calibri" w:eastAsia="Calibri" w:cs="Calibri"/>
      <w:color w:val="1A1A1A"/>
      <w:sz w:val="22"/>
      <w:szCs w:val="22"/>
    </w:rPr>
  </w:style>
  <w:style w:type="character" w:customStyle="1" w:styleId="19">
    <w:name w:val="Footnote Text Char"/>
    <w:link w:val="14"/>
    <w:semiHidden/>
    <w:unhideWhenUsed/>
    <w:qFormat/>
    <w:uiPriority w:val="99"/>
    <w:rPr>
      <w:sz w:val="20"/>
      <w:szCs w:val="20"/>
    </w:rPr>
  </w:style>
  <w:style w:type="character" w:customStyle="1" w:styleId="20">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2026-05-28T06:10:00Z</dcterms:created>
  <dc:creator>Cobay Technology Pvt. Ltd.</dc:creator>
  <cp:lastModifiedBy>Divikshaa Sugumaran</cp:lastModifiedBy>
  <dcterms:modified xsi:type="dcterms:W3CDTF">2026-05-28T06:47:38Z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D671E021AF724E05B28C4166CB0E4E51_12</vt:lpwstr>
  </property>
</Properties>
</file>