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757C">
      <w:pPr>
        <w:pBdr>
          <w:bottom w:val="single" w:color="2E75B6" w:sz="12" w:space="8"/>
        </w:pBdr>
        <w:spacing w:before="240" w:after="240"/>
        <w:jc w:val="left"/>
      </w:pPr>
      <w:r>
        <w:rPr>
          <w:rFonts w:ascii="Calibri" w:hAnsi="Calibri" w:eastAsia="Calibri" w:cs="Calibri"/>
          <w:b/>
          <w:bCs/>
          <w:color w:val="1F3A5F"/>
          <w:sz w:val="56"/>
          <w:szCs w:val="56"/>
        </w:rPr>
        <w:t>Acceptable Use Policy</w:t>
      </w:r>
    </w:p>
    <w:p w14:paraId="592DA4E5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Last updated: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27 May 2026</w:t>
      </w:r>
    </w:p>
    <w:p w14:paraId="100833B8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Effective date: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27 May 2026</w:t>
      </w:r>
    </w:p>
    <w:p w14:paraId="7C2EE65E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This Acceptable Use Policy ("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AUP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") applies to all customers and users of the services provided by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Cobay Technology Private Limited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("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Cobay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," "we," "us," "our") and is incorporated by reference into our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Terms of Service</w:t>
      </w:r>
      <w:r>
        <w:rPr>
          <w:rFonts w:ascii="Calibri" w:hAnsi="Calibri" w:eastAsia="Calibri" w:cs="Calibri"/>
          <w:color w:val="1A1A1A"/>
          <w:sz w:val="22"/>
          <w:szCs w:val="22"/>
        </w:rPr>
        <w:t>.</w:t>
      </w:r>
    </w:p>
    <w:p w14:paraId="4DA920D2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By using the Services, you agree to comply with this AUP. Violations may result in suspension or termination of your account without refund and may be repor</w:t>
      </w:r>
      <w:bookmarkStart w:id="0" w:name="_GoBack"/>
      <w:bookmarkEnd w:id="0"/>
      <w:r>
        <w:rPr>
          <w:rFonts w:ascii="Calibri" w:hAnsi="Calibri" w:eastAsia="Calibri" w:cs="Calibri"/>
          <w:color w:val="1A1A1A"/>
          <w:sz w:val="22"/>
          <w:szCs w:val="22"/>
        </w:rPr>
        <w:t>ted to law enforcement.</w:t>
      </w:r>
    </w:p>
    <w:p w14:paraId="546B6C28">
      <w:pPr>
        <w:pBdr>
          <w:bottom w:val="single" w:color="2E75B6" w:sz="6" w:space="1"/>
        </w:pBdr>
        <w:spacing w:before="120" w:after="120"/>
      </w:pPr>
    </w:p>
    <w:p w14:paraId="70E0A701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1. Prohibited Content and Activities</w:t>
      </w:r>
    </w:p>
    <w:p w14:paraId="19643B50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You must not use the Services to upload, store, transmit, or process any content, or engage in any activity, that:</w:t>
      </w:r>
    </w:p>
    <w:p w14:paraId="03BDBE84">
      <w:pPr>
        <w:pStyle w:val="3"/>
        <w:spacing w:before="240" w:after="120"/>
      </w:pPr>
      <w:r>
        <w:rPr>
          <w:rFonts w:ascii="Calibri" w:hAnsi="Calibri" w:eastAsia="Calibri" w:cs="Calibri"/>
          <w:b/>
          <w:bCs/>
          <w:color w:val="1F3A5F"/>
          <w:sz w:val="24"/>
          <w:szCs w:val="24"/>
        </w:rPr>
        <w:t>1.1 Violates law</w:t>
      </w:r>
    </w:p>
    <w:p w14:paraId="35FD4F22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Is illegal under applicable law (including Indian law and the laws of jurisdictions in which you operate)</w:t>
      </w:r>
    </w:p>
    <w:p w14:paraId="0BCCD93E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Promotes or facilitates illegal activity, including fraud, money laundering, or sale of prohibited goods or services</w:t>
      </w:r>
    </w:p>
    <w:p w14:paraId="06F0B68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Infringes any intellectual property, privacy, publicity, or other right of any third party</w:t>
      </w:r>
    </w:p>
    <w:p w14:paraId="2D406FA6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Violates the Information Technology Act, 2000, the Digital Personal Data Protection Act, 2023, or other applicable data protection laws</w:t>
      </w:r>
    </w:p>
    <w:p w14:paraId="3D5B249D">
      <w:pPr>
        <w:pStyle w:val="3"/>
        <w:spacing w:before="240" w:after="120"/>
      </w:pPr>
      <w:r>
        <w:rPr>
          <w:rFonts w:ascii="Calibri" w:hAnsi="Calibri" w:eastAsia="Calibri" w:cs="Calibri"/>
          <w:b/>
          <w:bCs/>
          <w:color w:val="1F3A5F"/>
          <w:sz w:val="24"/>
          <w:szCs w:val="24"/>
        </w:rPr>
        <w:t>1.2 Harms others</w:t>
      </w:r>
    </w:p>
    <w:p w14:paraId="406B381E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Is defamatory, obscene, hateful, harassing, threatening, or invasive of another's privacy</w:t>
      </w:r>
    </w:p>
    <w:p w14:paraId="3E171F22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Exploits minors or contains child sexual abuse material</w:t>
      </w:r>
    </w:p>
    <w:p w14:paraId="081153E7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Promotes self-harm, suicide, or violence</w:t>
      </w:r>
    </w:p>
    <w:p w14:paraId="1938651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Discriminates against any individual or group based on race, religion, gender, sexual orientation, disability, or other protected characteristic</w:t>
      </w:r>
    </w:p>
    <w:p w14:paraId="0422DE68">
      <w:pPr>
        <w:pStyle w:val="3"/>
        <w:spacing w:before="240" w:after="120"/>
      </w:pPr>
      <w:r>
        <w:rPr>
          <w:rFonts w:ascii="Calibri" w:hAnsi="Calibri" w:eastAsia="Calibri" w:cs="Calibri"/>
          <w:b/>
          <w:bCs/>
          <w:color w:val="1F3A5F"/>
          <w:sz w:val="24"/>
          <w:szCs w:val="24"/>
        </w:rPr>
        <w:t>1.3 Is deceptive or fraudulent</w:t>
      </w:r>
    </w:p>
    <w:p w14:paraId="17E67F4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Misrepresents your identity, affiliation, or origin</w:t>
      </w:r>
    </w:p>
    <w:p w14:paraId="146C6200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Sends unsolicited marketing in violation of applicable anti-spam laws (including TRAI regulations)</w:t>
      </w:r>
    </w:p>
    <w:p w14:paraId="32932B4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Engages in phishing, spoofing, or other deceptive practices</w:t>
      </w:r>
    </w:p>
    <w:p w14:paraId="76DF792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Manipulates pricing, reviews, ratings, or marketplace metrics in violation of platform rules</w:t>
      </w:r>
    </w:p>
    <w:p w14:paraId="629B7314">
      <w:pPr>
        <w:pBdr>
          <w:bottom w:val="single" w:color="2E75B6" w:sz="6" w:space="1"/>
        </w:pBdr>
        <w:spacing w:before="120" w:after="120"/>
      </w:pPr>
    </w:p>
    <w:p w14:paraId="43B010D9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2. System Abuse</w:t>
      </w:r>
    </w:p>
    <w:p w14:paraId="5983225F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You must not:</w:t>
      </w:r>
    </w:p>
    <w:p w14:paraId="23871307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Attempt to gain unauthorized access to the Services, other accounts, or any related systems or networks</w:t>
      </w:r>
    </w:p>
    <w:p w14:paraId="5E5C1442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Probe, scan, or test the vulnerability of the Services, except through our authorized security disclosure process</w:t>
      </w:r>
    </w:p>
    <w:p w14:paraId="0A90212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Bypass, disable, or interfere with security or authentication mechanisms</w:t>
      </w:r>
    </w:p>
    <w:p w14:paraId="5D9FA95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Introduce viruses, malware, worms, trojans, or other harmful code</w:t>
      </w:r>
    </w:p>
    <w:p w14:paraId="0E5DA00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Use the Services to launch denial-of-service attacks or send unsolicited bulk messages</w:t>
      </w:r>
    </w:p>
    <w:p w14:paraId="6A86102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Reverse engineer, decompile, or disassemble any part of the Services (except to the extent permitted by mandatory law)</w:t>
      </w:r>
    </w:p>
    <w:p w14:paraId="2016FE5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Use bots, scrapers, or automated tools to access the Services in ways not authorized by us</w:t>
      </w:r>
    </w:p>
    <w:p w14:paraId="17007FD8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Resell, sublicense, or commercially redistribute access to the Services without our written consent</w:t>
      </w:r>
    </w:p>
    <w:p w14:paraId="4A869E2B">
      <w:pPr>
        <w:pBdr>
          <w:bottom w:val="single" w:color="2E75B6" w:sz="6" w:space="1"/>
        </w:pBdr>
        <w:spacing w:before="120" w:after="120"/>
      </w:pPr>
    </w:p>
    <w:p w14:paraId="45B5DAD6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3. Excessive Use</w:t>
      </w:r>
    </w:p>
    <w:p w14:paraId="261BF5A8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You must not place an unreasonable burden on the Services, including:</w:t>
      </w:r>
    </w:p>
    <w:p w14:paraId="1A9117E7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Excessive API calls beyond documented rate limits</w:t>
      </w:r>
    </w:p>
    <w:p w14:paraId="126E342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Storing or transmitting unusually large volumes of data not consistent with normal e-commerce operations</w:t>
      </w:r>
    </w:p>
    <w:p w14:paraId="523C6BA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Activities that interfere with other customers' use of the Services</w:t>
      </w:r>
    </w:p>
    <w:p w14:paraId="523CE02A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We may impose technical limits or contact you if your usage is materially out of line with normal patterns.</w:t>
      </w:r>
    </w:p>
    <w:p w14:paraId="6C768C55">
      <w:pPr>
        <w:pBdr>
          <w:bottom w:val="single" w:color="2E75B6" w:sz="6" w:space="1"/>
        </w:pBdr>
        <w:spacing w:before="120" w:after="120"/>
      </w:pPr>
    </w:p>
    <w:p w14:paraId="19BB7EB6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4. Compliance with Third-Party Platforms</w:t>
      </w:r>
    </w:p>
    <w:p w14:paraId="09C7707D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When you use integrations (such as marketplaces or couriers), you must comply with their terms of service and acceptable use rules. We may suspend integrations if your use violates a third-party platform's rules.</w:t>
      </w:r>
    </w:p>
    <w:p w14:paraId="1E987E90">
      <w:pPr>
        <w:pBdr>
          <w:bottom w:val="single" w:color="2E75B6" w:sz="6" w:space="1"/>
        </w:pBdr>
        <w:spacing w:before="120" w:after="120"/>
      </w:pPr>
    </w:p>
    <w:p w14:paraId="4C982782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5. Reporting Violations</w:t>
      </w:r>
    </w:p>
    <w:p w14:paraId="2E2950AF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 xml:space="preserve">If you believe someone is violating this AUP, please report it to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abuse@cobay.com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with as much detail as possible.</w:t>
      </w:r>
    </w:p>
    <w:p w14:paraId="629ECEFD">
      <w:pPr>
        <w:pBdr>
          <w:bottom w:val="single" w:color="2E75B6" w:sz="6" w:space="1"/>
        </w:pBdr>
        <w:spacing w:before="120" w:after="120"/>
      </w:pPr>
    </w:p>
    <w:p w14:paraId="0C45AE7B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6. Enforcement</w:t>
      </w:r>
    </w:p>
    <w:p w14:paraId="4C3AC690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We may, at our sole discretion and without prior notice:</w:t>
      </w:r>
    </w:p>
    <w:p w14:paraId="28C9B9A5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Investigate suspected violations</w:t>
      </w:r>
    </w:p>
    <w:p w14:paraId="6388DBA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Remove or disable access to violating content</w:t>
      </w:r>
    </w:p>
    <w:p w14:paraId="302A0E78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Suspend or terminate accounts</w:t>
      </w:r>
    </w:p>
    <w:p w14:paraId="49A6FFF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Cooperate with law enforcement and regulatory authorities</w:t>
      </w:r>
    </w:p>
    <w:p w14:paraId="5B64691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Pursue legal remedies including damages and injunctive relief</w:t>
      </w:r>
    </w:p>
    <w:p w14:paraId="0499AAFC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We may modify this AUP at any time. Material changes will be communicated through the Services or by email.</w:t>
      </w:r>
    </w:p>
    <w:p w14:paraId="21A5EFDE">
      <w:pPr>
        <w:pBdr>
          <w:bottom w:val="single" w:color="2E75B6" w:sz="6" w:space="1"/>
        </w:pBdr>
        <w:spacing w:before="120" w:after="120"/>
      </w:pPr>
    </w:p>
    <w:p w14:paraId="14B6A014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7. Contact Us</w:t>
      </w:r>
    </w:p>
    <w:p w14:paraId="6E982703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Email: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abuse@cobay.com</w:t>
      </w:r>
    </w:p>
    <w:p w14:paraId="1C726B66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Postal: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Cobay Technology Private Limited, 15-2, 15-3, Kovaipudur Road, Coimbatore, 641042, Tamil Nadu, India</w:t>
      </w:r>
    </w:p>
    <w:sectPr>
      <w:headerReference r:id="rId3" w:type="default"/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7CEA">
    <w:pPr>
      <w:pStyle w:val="15"/>
    </w:pPr>
    <w:r>
      <w:rPr>
        <w:rFonts w:hint="default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-50800</wp:posOffset>
          </wp:positionV>
          <wp:extent cx="1327785" cy="488315"/>
          <wp:effectExtent l="0" t="0" r="0" b="7620"/>
          <wp:wrapNone/>
          <wp:docPr id="1" name="Picture 1" descr="Coba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bay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8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6B53"/>
    <w:multiLevelType w:val="singleLevel"/>
    <w:tmpl w:val="DCBA6B53"/>
    <w:lvl w:ilvl="0" w:tentative="0">
      <w:start w:val="1"/>
      <w:numFmt w:val="bullet"/>
      <w:lvlText w:val="■"/>
      <w:lvlJc w:val="left"/>
      <w:pPr>
        <w:ind w:left="720" w:hanging="360"/>
      </w:pPr>
      <w:rPr>
        <w:color w:val="2E75B6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7CC50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color w:val="1A1A1A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200"/>
      <w:outlineLvl w:val="0"/>
    </w:pPr>
    <w:rPr>
      <w:rFonts w:ascii="Calibri" w:hAnsi="Calibri" w:eastAsia="Calibri" w:cs="Calibri"/>
      <w:b/>
      <w:bCs/>
      <w:color w:val="1F3A5F"/>
      <w:sz w:val="30"/>
      <w:szCs w:val="30"/>
    </w:rPr>
  </w:style>
  <w:style w:type="paragraph" w:styleId="3">
    <w:name w:val="heading 2"/>
    <w:next w:val="1"/>
    <w:qFormat/>
    <w:uiPriority w:val="0"/>
    <w:pPr>
      <w:spacing w:before="240" w:after="120"/>
      <w:outlineLvl w:val="1"/>
    </w:pPr>
    <w:rPr>
      <w:rFonts w:ascii="Calibri" w:hAnsi="Calibri" w:eastAsia="Calibri" w:cs="Calibri"/>
      <w:b/>
      <w:bCs/>
      <w:color w:val="1F3A5F"/>
      <w:sz w:val="24"/>
      <w:szCs w:val="24"/>
    </w:rPr>
  </w:style>
  <w:style w:type="paragraph" w:styleId="4">
    <w:name w:val="heading 3"/>
    <w:next w:val="1"/>
    <w:qFormat/>
    <w:uiPriority w:val="0"/>
    <w:pPr>
      <w:spacing w:before="200" w:after="100"/>
      <w:outlineLvl w:val="2"/>
    </w:pPr>
    <w:rPr>
      <w:rFonts w:ascii="Calibri" w:hAnsi="Calibri" w:eastAsia="Calibri" w:cs="Calibri"/>
      <w:b/>
      <w:bCs/>
      <w:color w:val="1F3A5F"/>
      <w:sz w:val="22"/>
      <w:szCs w:val="22"/>
    </w:rPr>
  </w:style>
  <w:style w:type="paragraph" w:styleId="5">
    <w:name w:val="heading 4"/>
    <w:next w:val="1"/>
    <w:qFormat/>
    <w:uiPriority w:val="0"/>
    <w:rPr>
      <w:rFonts w:ascii="Calibri" w:hAnsi="Calibri" w:eastAsia="Calibri" w:cs="Calibri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Calibri" w:hAnsi="Calibri" w:eastAsia="Calibri" w:cs="Calibri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Calibri" w:hAnsi="Calibri" w:eastAsia="Calibri" w:cs="Calibri"/>
      <w:color w:val="1F4D78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20"/>
    <w:semiHidden/>
    <w:unhideWhenUsed/>
    <w:uiPriority w:val="99"/>
    <w:pPr>
      <w:spacing w:after="0" w:line="240" w:lineRule="auto"/>
    </w:pPr>
    <w:rPr>
      <w:rFonts w:ascii="Calibri" w:hAnsi="Calibri" w:eastAsia="Calibri" w:cs="Calibri"/>
      <w:color w:val="1A1A1A"/>
      <w:sz w:val="20"/>
      <w:szCs w:val="20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footnote text"/>
    <w:link w:val="19"/>
    <w:semiHidden/>
    <w:unhideWhenUsed/>
    <w:uiPriority w:val="99"/>
    <w:pPr>
      <w:spacing w:after="0" w:line="240" w:lineRule="auto"/>
    </w:pPr>
    <w:rPr>
      <w:rFonts w:ascii="Calibri" w:hAnsi="Calibri" w:eastAsia="Calibri" w:cs="Calibri"/>
      <w:color w:val="1A1A1A"/>
      <w:sz w:val="20"/>
      <w:szCs w:val="20"/>
    </w:rPr>
  </w:style>
  <w:style w:type="paragraph" w:styleId="1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6">
    <w:name w:val="Hyperlink"/>
    <w:unhideWhenUsed/>
    <w:uiPriority w:val="99"/>
    <w:rPr>
      <w:color w:val="0563C1"/>
      <w:u w:val="single"/>
    </w:rPr>
  </w:style>
  <w:style w:type="paragraph" w:styleId="17">
    <w:name w:val="Title"/>
    <w:qFormat/>
    <w:uiPriority w:val="0"/>
    <w:rPr>
      <w:rFonts w:ascii="Calibri" w:hAnsi="Calibri" w:eastAsia="Calibri" w:cs="Calibri"/>
      <w:color w:val="1A1A1A"/>
      <w:sz w:val="56"/>
      <w:szCs w:val="56"/>
    </w:rPr>
  </w:style>
  <w:style w:type="paragraph" w:styleId="18">
    <w:name w:val="List Paragraph"/>
    <w:qFormat/>
    <w:uiPriority w:val="0"/>
    <w:rPr>
      <w:rFonts w:ascii="Calibri" w:hAnsi="Calibri" w:eastAsia="Calibri" w:cs="Calibri"/>
      <w:color w:val="1A1A1A"/>
      <w:sz w:val="22"/>
      <w:szCs w:val="22"/>
    </w:rPr>
  </w:style>
  <w:style w:type="character" w:customStyle="1" w:styleId="19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20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2026-05-28T06:10:00Z</dcterms:created>
  <dc:creator>Cobay Technology Pvt. Ltd.</dc:creator>
  <cp:lastModifiedBy>Divikshaa Sugumaran</cp:lastModifiedBy>
  <dcterms:modified xsi:type="dcterms:W3CDTF">2026-05-28T06:44:27Z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A029078C0F6E45059F459FBA358B5BFC_12</vt:lpwstr>
  </property>
</Properties>
</file>